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BA" w:rsidRPr="00CB611A" w:rsidRDefault="00A114D2" w:rsidP="00A114D2">
      <w:pPr>
        <w:pStyle w:val="Heading1"/>
        <w:rPr>
          <w:b/>
        </w:rPr>
      </w:pPr>
      <w:r w:rsidRPr="00CB611A">
        <w:rPr>
          <w:b/>
        </w:rPr>
        <w:t xml:space="preserve">Risk Mitigation Monthly Report </w:t>
      </w:r>
      <w:r w:rsidR="007A12C1">
        <w:rPr>
          <w:b/>
        </w:rPr>
        <w:t>– July 2014</w:t>
      </w:r>
    </w:p>
    <w:p w:rsidR="00A114D2" w:rsidRDefault="00A114D2" w:rsidP="00A114D2"/>
    <w:p w:rsidR="00A114D2" w:rsidRDefault="00A114D2" w:rsidP="00A114D2">
      <w:r>
        <w:t>The risk mitigation monthly report provides a summary of risk activity in the previous month.</w:t>
      </w:r>
      <w:r w:rsidR="000D08F2">
        <w:t xml:space="preserve"> Further information will be gleaned with each added month of data. </w:t>
      </w:r>
    </w:p>
    <w:tbl>
      <w:tblPr>
        <w:tblW w:w="5305" w:type="dxa"/>
        <w:tblLayout w:type="fixed"/>
        <w:tblLook w:val="04A0" w:firstRow="1" w:lastRow="0" w:firstColumn="1" w:lastColumn="0" w:noHBand="0" w:noVBand="1"/>
      </w:tblPr>
      <w:tblGrid>
        <w:gridCol w:w="1795"/>
        <w:gridCol w:w="907"/>
        <w:gridCol w:w="2603"/>
      </w:tblGrid>
      <w:tr w:rsidR="009F3CDF" w:rsidRPr="00A114D2" w:rsidTr="007322BC">
        <w:trPr>
          <w:trHeight w:val="288"/>
        </w:trPr>
        <w:tc>
          <w:tcPr>
            <w:tcW w:w="5305" w:type="dxa"/>
            <w:gridSpan w:val="3"/>
            <w:tcBorders>
              <w:top w:val="single" w:sz="4" w:space="0" w:color="auto"/>
              <w:left w:val="single" w:sz="4" w:space="0" w:color="auto"/>
              <w:bottom w:val="single" w:sz="4" w:space="0" w:color="auto"/>
              <w:right w:val="single" w:sz="4" w:space="0" w:color="000000"/>
            </w:tcBorders>
            <w:shd w:val="clear" w:color="000000" w:fill="5B9BD5"/>
            <w:noWrap/>
            <w:vAlign w:val="bottom"/>
            <w:hideMark/>
          </w:tcPr>
          <w:p w:rsidR="009F3CDF" w:rsidRPr="00A114D2" w:rsidRDefault="009F3CDF" w:rsidP="009F3CDF">
            <w:pPr>
              <w:spacing w:after="0" w:line="240" w:lineRule="auto"/>
              <w:jc w:val="center"/>
              <w:rPr>
                <w:rFonts w:ascii="Calibri" w:eastAsia="Times New Roman" w:hAnsi="Calibri" w:cs="Times New Roman"/>
                <w:color w:val="FFFFFF"/>
              </w:rPr>
            </w:pPr>
            <w:r w:rsidRPr="00651846">
              <w:rPr>
                <w:rFonts w:ascii="Calibri" w:eastAsia="Times New Roman" w:hAnsi="Calibri" w:cs="Times New Roman"/>
                <w:b/>
                <w:sz w:val="28"/>
                <w:szCs w:val="28"/>
              </w:rPr>
              <w:t>Risks</w:t>
            </w:r>
          </w:p>
        </w:tc>
      </w:tr>
      <w:tr w:rsidR="009F3CDF" w:rsidRPr="00A114D2" w:rsidTr="009F3CDF">
        <w:trPr>
          <w:trHeight w:val="288"/>
        </w:trPr>
        <w:tc>
          <w:tcPr>
            <w:tcW w:w="2702"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9F3CDF" w:rsidRPr="00A114D2" w:rsidRDefault="009F3CDF" w:rsidP="009F3CDF">
            <w:pPr>
              <w:spacing w:after="0" w:line="240" w:lineRule="auto"/>
              <w:rPr>
                <w:rFonts w:ascii="Calibri" w:eastAsia="Times New Roman" w:hAnsi="Calibri" w:cs="Times New Roman"/>
                <w:color w:val="000000"/>
              </w:rPr>
            </w:pPr>
            <w:r>
              <w:rPr>
                <w:rFonts w:ascii="Calibri" w:eastAsia="Times New Roman" w:hAnsi="Calibri" w:cs="Times New Roman"/>
                <w:color w:val="000000"/>
              </w:rPr>
              <w:t>Quantity</w:t>
            </w:r>
            <w:r w:rsidRPr="00A114D2">
              <w:rPr>
                <w:rFonts w:ascii="Calibri" w:eastAsia="Times New Roman" w:hAnsi="Calibri" w:cs="Times New Roman"/>
                <w:color w:val="000000"/>
              </w:rPr>
              <w:t xml:space="preserve"> </w:t>
            </w:r>
          </w:p>
        </w:tc>
        <w:tc>
          <w:tcPr>
            <w:tcW w:w="2603" w:type="dxa"/>
            <w:tcBorders>
              <w:top w:val="single" w:sz="4" w:space="0" w:color="auto"/>
              <w:left w:val="single" w:sz="4" w:space="0" w:color="auto"/>
              <w:bottom w:val="single" w:sz="4" w:space="0" w:color="auto"/>
              <w:right w:val="single" w:sz="4" w:space="0" w:color="000000"/>
            </w:tcBorders>
            <w:shd w:val="clear" w:color="000000" w:fill="BDD7EE"/>
          </w:tcPr>
          <w:p w:rsidR="009F3CDF" w:rsidRPr="00A114D2" w:rsidRDefault="009F3CDF" w:rsidP="009F3CDF">
            <w:pPr>
              <w:spacing w:after="0" w:line="240" w:lineRule="auto"/>
              <w:rPr>
                <w:rFonts w:ascii="Calibri" w:eastAsia="Times New Roman" w:hAnsi="Calibri" w:cs="Times New Roman"/>
                <w:color w:val="000000"/>
              </w:rPr>
            </w:pPr>
            <w:r>
              <w:rPr>
                <w:rFonts w:ascii="Calibri" w:eastAsia="Times New Roman" w:hAnsi="Calibri" w:cs="Times New Roman"/>
                <w:color w:val="000000"/>
              </w:rPr>
              <w:t>Risk #</w:t>
            </w:r>
          </w:p>
        </w:tc>
      </w:tr>
      <w:tr w:rsidR="009F3CDF"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9F3CDF" w:rsidRPr="00A114D2" w:rsidRDefault="009F3CDF" w:rsidP="00A114D2">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Newly Opened</w:t>
            </w:r>
          </w:p>
        </w:tc>
        <w:tc>
          <w:tcPr>
            <w:tcW w:w="907" w:type="dxa"/>
            <w:tcBorders>
              <w:top w:val="nil"/>
              <w:left w:val="nil"/>
              <w:bottom w:val="single" w:sz="4" w:space="0" w:color="auto"/>
              <w:right w:val="single" w:sz="4" w:space="0" w:color="auto"/>
            </w:tcBorders>
            <w:shd w:val="clear" w:color="auto" w:fill="auto"/>
            <w:noWrap/>
            <w:vAlign w:val="bottom"/>
            <w:hideMark/>
          </w:tcPr>
          <w:p w:rsidR="009F3CDF" w:rsidRPr="00A114D2" w:rsidRDefault="009F3CDF" w:rsidP="006472B5">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 </w:t>
            </w:r>
            <w:r w:rsidR="006472B5">
              <w:rPr>
                <w:rFonts w:ascii="Calibri" w:eastAsia="Times New Roman" w:hAnsi="Calibri" w:cs="Times New Roman"/>
                <w:color w:val="000000"/>
              </w:rPr>
              <w:t>0</w:t>
            </w:r>
          </w:p>
        </w:tc>
        <w:tc>
          <w:tcPr>
            <w:tcW w:w="2603" w:type="dxa"/>
            <w:tcBorders>
              <w:top w:val="nil"/>
              <w:left w:val="nil"/>
              <w:bottom w:val="single" w:sz="4" w:space="0" w:color="auto"/>
              <w:right w:val="single" w:sz="4" w:space="0" w:color="auto"/>
            </w:tcBorders>
          </w:tcPr>
          <w:p w:rsidR="009F3CDF" w:rsidRPr="00A114D2"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p>
        </w:tc>
      </w:tr>
      <w:tr w:rsidR="006472B5"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tcPr>
          <w:p w:rsidR="006472B5" w:rsidRPr="00A114D2" w:rsidRDefault="006472B5"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Newly above the water line</w:t>
            </w:r>
          </w:p>
        </w:tc>
        <w:tc>
          <w:tcPr>
            <w:tcW w:w="907" w:type="dxa"/>
            <w:tcBorders>
              <w:top w:val="nil"/>
              <w:left w:val="nil"/>
              <w:bottom w:val="single" w:sz="4" w:space="0" w:color="auto"/>
              <w:right w:val="single" w:sz="4" w:space="0" w:color="auto"/>
            </w:tcBorders>
            <w:shd w:val="clear" w:color="auto" w:fill="auto"/>
            <w:noWrap/>
            <w:vAlign w:val="bottom"/>
          </w:tcPr>
          <w:p w:rsidR="006472B5" w:rsidRPr="00A114D2" w:rsidRDefault="006472B5" w:rsidP="00A31B77">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p>
        </w:tc>
        <w:tc>
          <w:tcPr>
            <w:tcW w:w="2603" w:type="dxa"/>
            <w:tcBorders>
              <w:top w:val="nil"/>
              <w:left w:val="nil"/>
              <w:bottom w:val="single" w:sz="4" w:space="0" w:color="auto"/>
              <w:right w:val="single" w:sz="4" w:space="0" w:color="auto"/>
            </w:tcBorders>
          </w:tcPr>
          <w:p w:rsidR="006472B5" w:rsidRDefault="006472B5"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#27</w:t>
            </w:r>
          </w:p>
        </w:tc>
      </w:tr>
      <w:tr w:rsidR="009F3CDF"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9F3CDF" w:rsidRPr="00A114D2" w:rsidRDefault="009F3CDF" w:rsidP="00A114D2">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In Progress</w:t>
            </w:r>
          </w:p>
        </w:tc>
        <w:tc>
          <w:tcPr>
            <w:tcW w:w="907" w:type="dxa"/>
            <w:tcBorders>
              <w:top w:val="nil"/>
              <w:left w:val="nil"/>
              <w:bottom w:val="single" w:sz="4" w:space="0" w:color="auto"/>
              <w:right w:val="single" w:sz="4" w:space="0" w:color="auto"/>
            </w:tcBorders>
            <w:shd w:val="clear" w:color="auto" w:fill="auto"/>
            <w:noWrap/>
            <w:vAlign w:val="bottom"/>
            <w:hideMark/>
          </w:tcPr>
          <w:p w:rsidR="009F3CDF" w:rsidRPr="00A114D2" w:rsidRDefault="009F3CDF" w:rsidP="00A31B77">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 </w:t>
            </w:r>
            <w:r>
              <w:rPr>
                <w:rFonts w:ascii="Calibri" w:eastAsia="Times New Roman" w:hAnsi="Calibri" w:cs="Times New Roman"/>
                <w:color w:val="000000"/>
              </w:rPr>
              <w:t>8</w:t>
            </w:r>
          </w:p>
        </w:tc>
        <w:tc>
          <w:tcPr>
            <w:tcW w:w="2603" w:type="dxa"/>
            <w:tcBorders>
              <w:top w:val="nil"/>
              <w:left w:val="nil"/>
              <w:bottom w:val="single" w:sz="4" w:space="0" w:color="auto"/>
              <w:right w:val="single" w:sz="4" w:space="0" w:color="auto"/>
            </w:tcBorders>
          </w:tcPr>
          <w:p w:rsidR="009F3CDF" w:rsidRPr="00A114D2"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#5,6,11,19,20,21,22,23</w:t>
            </w:r>
            <w:r w:rsidR="00117CF6">
              <w:rPr>
                <w:rFonts w:ascii="Calibri" w:eastAsia="Times New Roman" w:hAnsi="Calibri" w:cs="Times New Roman"/>
                <w:color w:val="000000"/>
              </w:rPr>
              <w:t>,27</w:t>
            </w:r>
          </w:p>
        </w:tc>
      </w:tr>
      <w:tr w:rsidR="009F3CDF"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tcPr>
          <w:p w:rsidR="009F3CDF" w:rsidRPr="00A114D2"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Risk Plans Complete</w:t>
            </w:r>
          </w:p>
        </w:tc>
        <w:tc>
          <w:tcPr>
            <w:tcW w:w="907" w:type="dxa"/>
            <w:tcBorders>
              <w:top w:val="nil"/>
              <w:left w:val="nil"/>
              <w:bottom w:val="single" w:sz="4" w:space="0" w:color="auto"/>
              <w:right w:val="single" w:sz="4" w:space="0" w:color="auto"/>
            </w:tcBorders>
            <w:shd w:val="clear" w:color="auto" w:fill="auto"/>
            <w:noWrap/>
            <w:vAlign w:val="bottom"/>
          </w:tcPr>
          <w:p w:rsidR="009F3CDF" w:rsidRPr="00A114D2"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p>
        </w:tc>
        <w:tc>
          <w:tcPr>
            <w:tcW w:w="2603" w:type="dxa"/>
            <w:tcBorders>
              <w:top w:val="nil"/>
              <w:left w:val="nil"/>
              <w:bottom w:val="single" w:sz="4" w:space="0" w:color="auto"/>
              <w:right w:val="single" w:sz="4" w:space="0" w:color="auto"/>
            </w:tcBorders>
          </w:tcPr>
          <w:p w:rsidR="009F3CDF"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 5,6,11,19,22</w:t>
            </w:r>
          </w:p>
        </w:tc>
      </w:tr>
      <w:tr w:rsidR="009F3CDF"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tcPr>
          <w:p w:rsidR="009F3CDF"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Risk Plans in Progress</w:t>
            </w:r>
          </w:p>
        </w:tc>
        <w:tc>
          <w:tcPr>
            <w:tcW w:w="907" w:type="dxa"/>
            <w:tcBorders>
              <w:top w:val="nil"/>
              <w:left w:val="nil"/>
              <w:bottom w:val="single" w:sz="4" w:space="0" w:color="auto"/>
              <w:right w:val="single" w:sz="4" w:space="0" w:color="auto"/>
            </w:tcBorders>
            <w:shd w:val="clear" w:color="auto" w:fill="auto"/>
            <w:noWrap/>
            <w:vAlign w:val="bottom"/>
          </w:tcPr>
          <w:p w:rsidR="009F3CDF"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p>
        </w:tc>
        <w:tc>
          <w:tcPr>
            <w:tcW w:w="2603" w:type="dxa"/>
            <w:tcBorders>
              <w:top w:val="nil"/>
              <w:left w:val="nil"/>
              <w:bottom w:val="single" w:sz="4" w:space="0" w:color="auto"/>
              <w:right w:val="single" w:sz="4" w:space="0" w:color="auto"/>
            </w:tcBorders>
          </w:tcPr>
          <w:p w:rsidR="009F3CDF"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 20, 21, 23</w:t>
            </w:r>
            <w:r w:rsidR="00117CF6">
              <w:rPr>
                <w:rFonts w:ascii="Calibri" w:eastAsia="Times New Roman" w:hAnsi="Calibri" w:cs="Times New Roman"/>
                <w:color w:val="000000"/>
              </w:rPr>
              <w:t>, 27</w:t>
            </w:r>
          </w:p>
        </w:tc>
      </w:tr>
      <w:tr w:rsidR="009F3CDF"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9F3CDF" w:rsidRPr="00A114D2" w:rsidRDefault="009F3CDF" w:rsidP="00A114D2">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Resolved</w:t>
            </w:r>
          </w:p>
        </w:tc>
        <w:tc>
          <w:tcPr>
            <w:tcW w:w="907" w:type="dxa"/>
            <w:tcBorders>
              <w:top w:val="nil"/>
              <w:left w:val="nil"/>
              <w:bottom w:val="single" w:sz="4" w:space="0" w:color="auto"/>
              <w:right w:val="single" w:sz="4" w:space="0" w:color="auto"/>
            </w:tcBorders>
            <w:shd w:val="clear" w:color="auto" w:fill="auto"/>
            <w:noWrap/>
            <w:vAlign w:val="bottom"/>
            <w:hideMark/>
          </w:tcPr>
          <w:p w:rsidR="009F3CDF" w:rsidRPr="00A114D2" w:rsidRDefault="009F3CDF" w:rsidP="00A114D2">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 </w:t>
            </w:r>
            <w:r>
              <w:rPr>
                <w:rFonts w:ascii="Calibri" w:eastAsia="Times New Roman" w:hAnsi="Calibri" w:cs="Times New Roman"/>
                <w:color w:val="000000"/>
              </w:rPr>
              <w:t>0</w:t>
            </w:r>
          </w:p>
        </w:tc>
        <w:tc>
          <w:tcPr>
            <w:tcW w:w="2603" w:type="dxa"/>
            <w:tcBorders>
              <w:top w:val="nil"/>
              <w:left w:val="nil"/>
              <w:bottom w:val="single" w:sz="4" w:space="0" w:color="auto"/>
              <w:right w:val="single" w:sz="4" w:space="0" w:color="auto"/>
            </w:tcBorders>
          </w:tcPr>
          <w:p w:rsidR="009F3CDF" w:rsidRPr="00A114D2"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p>
        </w:tc>
      </w:tr>
      <w:tr w:rsidR="009F3CDF" w:rsidRPr="00A114D2" w:rsidTr="009F3CDF">
        <w:trPr>
          <w:trHeight w:val="288"/>
        </w:trPr>
        <w:tc>
          <w:tcPr>
            <w:tcW w:w="1795" w:type="dxa"/>
            <w:tcBorders>
              <w:top w:val="nil"/>
              <w:left w:val="single" w:sz="4" w:space="0" w:color="auto"/>
              <w:bottom w:val="nil"/>
              <w:right w:val="single" w:sz="4" w:space="0" w:color="auto"/>
            </w:tcBorders>
            <w:shd w:val="clear" w:color="auto" w:fill="auto"/>
            <w:noWrap/>
            <w:vAlign w:val="bottom"/>
            <w:hideMark/>
          </w:tcPr>
          <w:p w:rsidR="009F3CDF" w:rsidRPr="00A114D2" w:rsidRDefault="009F3CDF" w:rsidP="00A114D2">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Closed</w:t>
            </w:r>
          </w:p>
        </w:tc>
        <w:tc>
          <w:tcPr>
            <w:tcW w:w="907" w:type="dxa"/>
            <w:tcBorders>
              <w:top w:val="nil"/>
              <w:left w:val="nil"/>
              <w:bottom w:val="nil"/>
              <w:right w:val="single" w:sz="4" w:space="0" w:color="auto"/>
            </w:tcBorders>
            <w:shd w:val="clear" w:color="auto" w:fill="auto"/>
            <w:noWrap/>
            <w:vAlign w:val="bottom"/>
            <w:hideMark/>
          </w:tcPr>
          <w:p w:rsidR="009F3CDF" w:rsidRPr="00A114D2" w:rsidRDefault="009F3CDF" w:rsidP="00A114D2">
            <w:pPr>
              <w:spacing w:after="0" w:line="240" w:lineRule="auto"/>
              <w:rPr>
                <w:rFonts w:ascii="Calibri" w:eastAsia="Times New Roman" w:hAnsi="Calibri" w:cs="Times New Roman"/>
                <w:color w:val="000000"/>
              </w:rPr>
            </w:pPr>
            <w:r w:rsidRPr="00A114D2">
              <w:rPr>
                <w:rFonts w:ascii="Calibri" w:eastAsia="Times New Roman" w:hAnsi="Calibri" w:cs="Times New Roman"/>
                <w:color w:val="000000"/>
              </w:rPr>
              <w:t> </w:t>
            </w:r>
            <w:r>
              <w:rPr>
                <w:rFonts w:ascii="Calibri" w:eastAsia="Times New Roman" w:hAnsi="Calibri" w:cs="Times New Roman"/>
                <w:color w:val="000000"/>
              </w:rPr>
              <w:t>1</w:t>
            </w:r>
          </w:p>
        </w:tc>
        <w:tc>
          <w:tcPr>
            <w:tcW w:w="2603" w:type="dxa"/>
            <w:tcBorders>
              <w:top w:val="nil"/>
              <w:left w:val="nil"/>
              <w:bottom w:val="nil"/>
              <w:right w:val="single" w:sz="4" w:space="0" w:color="auto"/>
            </w:tcBorders>
          </w:tcPr>
          <w:p w:rsidR="009F3CDF" w:rsidRPr="00A114D2" w:rsidRDefault="009F3CDF" w:rsidP="00A114D2">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p>
        </w:tc>
      </w:tr>
      <w:tr w:rsidR="009F3CDF" w:rsidRPr="00A114D2" w:rsidTr="009F3CDF">
        <w:trPr>
          <w:trHeight w:val="288"/>
        </w:trPr>
        <w:tc>
          <w:tcPr>
            <w:tcW w:w="1795" w:type="dxa"/>
            <w:tcBorders>
              <w:top w:val="nil"/>
              <w:left w:val="single" w:sz="4" w:space="0" w:color="auto"/>
              <w:bottom w:val="single" w:sz="4" w:space="0" w:color="auto"/>
              <w:right w:val="single" w:sz="4" w:space="0" w:color="auto"/>
            </w:tcBorders>
            <w:shd w:val="clear" w:color="auto" w:fill="auto"/>
            <w:noWrap/>
            <w:vAlign w:val="bottom"/>
          </w:tcPr>
          <w:p w:rsidR="009F3CDF" w:rsidRPr="00A114D2" w:rsidRDefault="009F3CDF" w:rsidP="00A114D2">
            <w:pPr>
              <w:spacing w:after="0" w:line="240" w:lineRule="auto"/>
              <w:rPr>
                <w:rFonts w:ascii="Calibri" w:eastAsia="Times New Roman" w:hAnsi="Calibri" w:cs="Times New Roman"/>
                <w:color w:val="000000"/>
              </w:rPr>
            </w:pPr>
          </w:p>
        </w:tc>
        <w:tc>
          <w:tcPr>
            <w:tcW w:w="907" w:type="dxa"/>
            <w:tcBorders>
              <w:top w:val="nil"/>
              <w:left w:val="nil"/>
              <w:bottom w:val="single" w:sz="4" w:space="0" w:color="auto"/>
              <w:right w:val="single" w:sz="4" w:space="0" w:color="auto"/>
            </w:tcBorders>
            <w:shd w:val="clear" w:color="auto" w:fill="auto"/>
            <w:noWrap/>
            <w:vAlign w:val="bottom"/>
          </w:tcPr>
          <w:p w:rsidR="009F3CDF" w:rsidRPr="00A114D2" w:rsidRDefault="009F3CDF" w:rsidP="00A114D2">
            <w:pPr>
              <w:spacing w:after="0" w:line="240" w:lineRule="auto"/>
              <w:rPr>
                <w:rFonts w:ascii="Calibri" w:eastAsia="Times New Roman" w:hAnsi="Calibri" w:cs="Times New Roman"/>
                <w:color w:val="000000"/>
              </w:rPr>
            </w:pPr>
          </w:p>
        </w:tc>
        <w:tc>
          <w:tcPr>
            <w:tcW w:w="2603" w:type="dxa"/>
            <w:tcBorders>
              <w:top w:val="nil"/>
              <w:left w:val="nil"/>
              <w:bottom w:val="single" w:sz="4" w:space="0" w:color="auto"/>
              <w:right w:val="single" w:sz="4" w:space="0" w:color="auto"/>
            </w:tcBorders>
          </w:tcPr>
          <w:p w:rsidR="009F3CDF" w:rsidRPr="00A114D2" w:rsidRDefault="009F3CDF" w:rsidP="00A114D2">
            <w:pPr>
              <w:spacing w:after="0" w:line="240" w:lineRule="auto"/>
              <w:rPr>
                <w:rFonts w:ascii="Calibri" w:eastAsia="Times New Roman" w:hAnsi="Calibri" w:cs="Times New Roman"/>
                <w:color w:val="000000"/>
              </w:rPr>
            </w:pPr>
          </w:p>
        </w:tc>
      </w:tr>
    </w:tbl>
    <w:p w:rsidR="00A114D2" w:rsidRDefault="00A114D2" w:rsidP="00A114D2"/>
    <w:p w:rsidR="004460FD" w:rsidRDefault="004460FD" w:rsidP="004460FD">
      <w:pPr>
        <w:shd w:val="clear" w:color="auto" w:fill="D9E2F3" w:themeFill="accent5" w:themeFillTint="33"/>
        <w:rPr>
          <w:rStyle w:val="Strong"/>
          <w:b w:val="0"/>
        </w:rPr>
      </w:pPr>
      <w:r>
        <w:rPr>
          <w:rStyle w:val="Strong"/>
          <w:b w:val="0"/>
        </w:rPr>
        <w:t>Addendum for Steering Committee meeting</w:t>
      </w:r>
      <w:r w:rsidRPr="00CB611A">
        <w:rPr>
          <w:rStyle w:val="Strong"/>
          <w:b w:val="0"/>
        </w:rPr>
        <w:t>:</w:t>
      </w:r>
    </w:p>
    <w:p w:rsidR="004460FD" w:rsidRDefault="00686DA1" w:rsidP="00A114D2">
      <w:r>
        <w:t xml:space="preserve">The following risks </w:t>
      </w:r>
      <w:r w:rsidR="00D37B95">
        <w:t>#</w:t>
      </w:r>
      <w:r w:rsidR="004460FD">
        <w:t xml:space="preserve">21, </w:t>
      </w:r>
      <w:r w:rsidR="00D37B95">
        <w:t>#</w:t>
      </w:r>
      <w:r w:rsidR="004460FD">
        <w:t xml:space="preserve">24, </w:t>
      </w:r>
      <w:r w:rsidR="00D37B95">
        <w:t>#</w:t>
      </w:r>
      <w:r w:rsidR="004460FD">
        <w:t>26</w:t>
      </w:r>
      <w:r w:rsidR="00D37B95">
        <w:t xml:space="preserve"> </w:t>
      </w:r>
      <w:r>
        <w:t>current</w:t>
      </w:r>
      <w:r w:rsidR="00D37B95">
        <w:t>ly</w:t>
      </w:r>
      <w:r>
        <w:t xml:space="preserve"> sit in the Steering Committee.</w:t>
      </w:r>
    </w:p>
    <w:p w:rsidR="000D08F2" w:rsidRDefault="000D08F2" w:rsidP="00A114D2"/>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4589"/>
        <w:gridCol w:w="4237"/>
      </w:tblGrid>
      <w:tr w:rsidR="000D08F2" w:rsidRPr="00721454" w:rsidTr="00BB2A84">
        <w:trPr>
          <w:trHeight w:val="575"/>
          <w:jc w:val="center"/>
        </w:trPr>
        <w:tc>
          <w:tcPr>
            <w:tcW w:w="103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rsidR="000D08F2" w:rsidRPr="000D08F2" w:rsidRDefault="000D08F2" w:rsidP="009B63E7">
            <w:pPr>
              <w:spacing w:after="0" w:line="240" w:lineRule="auto"/>
              <w:rPr>
                <w:rFonts w:ascii="Calibri" w:eastAsia="Times New Roman" w:hAnsi="Calibri" w:cs="Times New Roman"/>
                <w:b/>
                <w:bCs/>
                <w:color w:val="000000"/>
                <w:sz w:val="24"/>
                <w:szCs w:val="24"/>
              </w:rPr>
            </w:pPr>
            <w:r w:rsidRPr="000D08F2">
              <w:rPr>
                <w:rFonts w:ascii="Calibri" w:eastAsia="Times New Roman" w:hAnsi="Calibri" w:cs="Times New Roman"/>
                <w:b/>
                <w:bCs/>
                <w:color w:val="000000"/>
                <w:sz w:val="24"/>
                <w:szCs w:val="24"/>
              </w:rPr>
              <w:t>Risk Number</w:t>
            </w:r>
          </w:p>
        </w:tc>
        <w:tc>
          <w:tcPr>
            <w:tcW w:w="436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0D08F2" w:rsidRPr="000D08F2" w:rsidRDefault="000D08F2" w:rsidP="009B63E7">
            <w:pPr>
              <w:spacing w:after="0" w:line="240" w:lineRule="auto"/>
              <w:rPr>
                <w:rFonts w:ascii="Calibri" w:eastAsia="Times New Roman" w:hAnsi="Calibri" w:cs="Times New Roman"/>
                <w:b/>
                <w:bCs/>
                <w:color w:val="000000"/>
                <w:sz w:val="24"/>
                <w:szCs w:val="24"/>
              </w:rPr>
            </w:pPr>
            <w:r w:rsidRPr="000D08F2">
              <w:rPr>
                <w:rFonts w:ascii="Calibri" w:eastAsia="Times New Roman" w:hAnsi="Calibri" w:cs="Times New Roman"/>
                <w:b/>
                <w:bCs/>
                <w:color w:val="000000"/>
                <w:sz w:val="24"/>
                <w:szCs w:val="24"/>
              </w:rPr>
              <w:t>Risk Summary</w:t>
            </w:r>
          </w:p>
        </w:tc>
        <w:tc>
          <w:tcPr>
            <w:tcW w:w="446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0D08F2" w:rsidRPr="000D08F2" w:rsidRDefault="000D08F2" w:rsidP="009B63E7">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If… then…..</w:t>
            </w:r>
          </w:p>
        </w:tc>
      </w:tr>
      <w:tr w:rsidR="007D0564" w:rsidRPr="00721454" w:rsidTr="00BB2A84">
        <w:trPr>
          <w:trHeight w:val="1332"/>
          <w:jc w:val="center"/>
        </w:trPr>
        <w:tc>
          <w:tcPr>
            <w:tcW w:w="1034" w:type="dxa"/>
            <w:shd w:val="clear" w:color="auto" w:fill="auto"/>
            <w:noWrap/>
            <w:vAlign w:val="center"/>
            <w:hideMark/>
          </w:tcPr>
          <w:p w:rsidR="007D0564" w:rsidRPr="00721454" w:rsidRDefault="007D0564" w:rsidP="009B63E7">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#21</w:t>
            </w:r>
          </w:p>
        </w:tc>
        <w:tc>
          <w:tcPr>
            <w:tcW w:w="4361" w:type="dxa"/>
            <w:shd w:val="clear" w:color="auto" w:fill="auto"/>
            <w:vAlign w:val="center"/>
            <w:hideMark/>
          </w:tcPr>
          <w:p w:rsidR="007D0564" w:rsidRPr="00721454" w:rsidRDefault="007D0564" w:rsidP="00686DA1">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Relationship between all the players in the SIM initiatives, CHW, Peer Support, Care Coordinators, etc., may lead to fragmented care and complications for patients</w:t>
            </w:r>
          </w:p>
        </w:tc>
        <w:tc>
          <w:tcPr>
            <w:tcW w:w="4465" w:type="dxa"/>
            <w:shd w:val="clear" w:color="auto" w:fill="auto"/>
            <w:vAlign w:val="center"/>
            <w:hideMark/>
          </w:tcPr>
          <w:p w:rsidR="007D0564" w:rsidRPr="00721454" w:rsidRDefault="00686DA1" w:rsidP="00686DA1">
            <w:pPr>
              <w:spacing w:after="0" w:line="240" w:lineRule="auto"/>
              <w:rPr>
                <w:rFonts w:ascii="Calibri" w:eastAsia="Times New Roman" w:hAnsi="Calibri" w:cs="Times New Roman"/>
                <w:color w:val="000000"/>
              </w:rPr>
            </w:pPr>
            <w:r w:rsidRPr="00686DA1">
              <w:rPr>
                <w:rFonts w:ascii="Calibri" w:eastAsia="Times New Roman" w:hAnsi="Calibri" w:cs="Times New Roman"/>
                <w:color w:val="000000"/>
              </w:rPr>
              <w:t xml:space="preserve">If care coordination is fragmented, </w:t>
            </w:r>
            <w:proofErr w:type="spellStart"/>
            <w:r w:rsidRPr="00686DA1">
              <w:rPr>
                <w:rFonts w:ascii="Calibri" w:eastAsia="Times New Roman" w:hAnsi="Calibri" w:cs="Times New Roman"/>
                <w:color w:val="000000"/>
              </w:rPr>
              <w:t>siloed</w:t>
            </w:r>
            <w:proofErr w:type="spellEnd"/>
            <w:r w:rsidRPr="00686DA1">
              <w:rPr>
                <w:rFonts w:ascii="Calibri" w:eastAsia="Times New Roman" w:hAnsi="Calibri" w:cs="Times New Roman"/>
                <w:color w:val="000000"/>
              </w:rPr>
              <w:t xml:space="preserve"> and duplicative then patient outcomes may be compromised, costs savings will be compromised and the health improvements will suffer</w:t>
            </w:r>
            <w:r>
              <w:rPr>
                <w:rFonts w:ascii="Calibri" w:eastAsia="Times New Roman" w:hAnsi="Calibri" w:cs="Times New Roman"/>
                <w:color w:val="000000"/>
              </w:rPr>
              <w:t xml:space="preserve">- Then- </w:t>
            </w:r>
            <w:r w:rsidRPr="00686DA1">
              <w:rPr>
                <w:rFonts w:ascii="Calibri" w:eastAsia="Times New Roman" w:hAnsi="Calibri" w:cs="Times New Roman"/>
                <w:color w:val="000000"/>
              </w:rPr>
              <w:t xml:space="preserve">continued fragmentation and </w:t>
            </w:r>
            <w:proofErr w:type="spellStart"/>
            <w:r w:rsidRPr="00686DA1">
              <w:rPr>
                <w:rFonts w:ascii="Calibri" w:eastAsia="Times New Roman" w:hAnsi="Calibri" w:cs="Times New Roman"/>
                <w:color w:val="000000"/>
              </w:rPr>
              <w:t>siloed</w:t>
            </w:r>
            <w:proofErr w:type="spellEnd"/>
            <w:r w:rsidRPr="00686DA1">
              <w:rPr>
                <w:rFonts w:ascii="Calibri" w:eastAsia="Times New Roman" w:hAnsi="Calibri" w:cs="Times New Roman"/>
                <w:color w:val="000000"/>
              </w:rPr>
              <w:t xml:space="preserve"> approaches will compromise patient outcomes and created ineffi</w:t>
            </w:r>
            <w:r>
              <w:rPr>
                <w:rFonts w:ascii="Calibri" w:eastAsia="Times New Roman" w:hAnsi="Calibri" w:cs="Times New Roman"/>
                <w:color w:val="000000"/>
              </w:rPr>
              <w:t>ci</w:t>
            </w:r>
            <w:r w:rsidRPr="00686DA1">
              <w:rPr>
                <w:rFonts w:ascii="Calibri" w:eastAsia="Times New Roman" w:hAnsi="Calibri" w:cs="Times New Roman"/>
                <w:color w:val="000000"/>
              </w:rPr>
              <w:t>ent and cost</w:t>
            </w:r>
            <w:r>
              <w:rPr>
                <w:rFonts w:ascii="Calibri" w:eastAsia="Times New Roman" w:hAnsi="Calibri" w:cs="Times New Roman"/>
                <w:color w:val="000000"/>
              </w:rPr>
              <w:t>l</w:t>
            </w:r>
            <w:r w:rsidRPr="00686DA1">
              <w:rPr>
                <w:rFonts w:ascii="Calibri" w:eastAsia="Times New Roman" w:hAnsi="Calibri" w:cs="Times New Roman"/>
                <w:color w:val="000000"/>
              </w:rPr>
              <w:t>y processes</w:t>
            </w:r>
            <w:r w:rsidR="000D08F2">
              <w:rPr>
                <w:rFonts w:ascii="Calibri" w:eastAsia="Times New Roman" w:hAnsi="Calibri" w:cs="Times New Roman"/>
                <w:color w:val="000000"/>
              </w:rPr>
              <w:t>.</w:t>
            </w:r>
          </w:p>
        </w:tc>
      </w:tr>
      <w:tr w:rsidR="007D0564" w:rsidRPr="00721454" w:rsidTr="00BB2A84">
        <w:trPr>
          <w:trHeight w:val="1332"/>
          <w:jc w:val="center"/>
        </w:trPr>
        <w:tc>
          <w:tcPr>
            <w:tcW w:w="1034" w:type="dxa"/>
            <w:shd w:val="clear" w:color="auto" w:fill="auto"/>
            <w:noWrap/>
            <w:vAlign w:val="center"/>
          </w:tcPr>
          <w:p w:rsidR="007D0564" w:rsidRPr="00721454" w:rsidRDefault="007D0564" w:rsidP="009B63E7">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p>
        </w:tc>
        <w:tc>
          <w:tcPr>
            <w:tcW w:w="4361" w:type="dxa"/>
            <w:shd w:val="clear" w:color="auto" w:fill="auto"/>
            <w:vAlign w:val="center"/>
          </w:tcPr>
          <w:tbl>
            <w:tblPr>
              <w:tblW w:w="4363" w:type="dxa"/>
              <w:tblInd w:w="10" w:type="dxa"/>
              <w:tblCellMar>
                <w:left w:w="0" w:type="dxa"/>
                <w:right w:w="0" w:type="dxa"/>
              </w:tblCellMar>
              <w:tblLook w:val="04A0" w:firstRow="1" w:lastRow="0" w:firstColumn="1" w:lastColumn="0" w:noHBand="0" w:noVBand="1"/>
            </w:tblPr>
            <w:tblGrid>
              <w:gridCol w:w="4363"/>
            </w:tblGrid>
            <w:tr w:rsidR="00965195" w:rsidTr="00965195">
              <w:trPr>
                <w:trHeight w:val="2557"/>
              </w:trPr>
              <w:tc>
                <w:tcPr>
                  <w:tcW w:w="4363" w:type="dxa"/>
                  <w:tcBorders>
                    <w:top w:val="single" w:sz="8" w:space="0" w:color="auto"/>
                    <w:left w:val="nil"/>
                    <w:bottom w:val="nil"/>
                  </w:tcBorders>
                  <w:tcMar>
                    <w:top w:w="0" w:type="dxa"/>
                    <w:left w:w="108" w:type="dxa"/>
                    <w:bottom w:w="0" w:type="dxa"/>
                    <w:right w:w="108" w:type="dxa"/>
                  </w:tcMar>
                  <w:hideMark/>
                </w:tcPr>
                <w:p w:rsidR="00965195" w:rsidRDefault="00965195">
                  <w:pPr>
                    <w:rPr>
                      <w:rFonts w:ascii="Calibri" w:hAnsi="Calibri" w:cs="Calibri"/>
                      <w:color w:val="000000"/>
                      <w:sz w:val="20"/>
                      <w:szCs w:val="20"/>
                    </w:rPr>
                  </w:pPr>
                  <w:r>
                    <w:rPr>
                      <w:color w:val="000000"/>
                      <w:sz w:val="20"/>
                      <w:szCs w:val="20"/>
                    </w:rPr>
                    <w:t xml:space="preserve">Continuation </w:t>
                  </w:r>
                  <w:r>
                    <w:rPr>
                      <w:color w:val="000000"/>
                      <w:sz w:val="20"/>
                      <w:szCs w:val="20"/>
                    </w:rPr>
                    <w:t>of</w:t>
                  </w:r>
                  <w:r>
                    <w:rPr>
                      <w:color w:val="000000"/>
                      <w:sz w:val="20"/>
                      <w:szCs w:val="20"/>
                    </w:rPr>
                    <w:t xml:space="preserve"> enhanced primary care payment to support the PCMH/HH/CCT model is critical to sustaining the transformation in the delivery system</w:t>
                  </w:r>
                  <w:bookmarkStart w:id="0" w:name="_GoBack"/>
                  <w:bookmarkEnd w:id="0"/>
                </w:p>
              </w:tc>
            </w:tr>
          </w:tbl>
          <w:p w:rsidR="007D0564" w:rsidRPr="00721454" w:rsidRDefault="007D0564" w:rsidP="00686DA1">
            <w:pPr>
              <w:spacing w:after="0" w:line="240" w:lineRule="auto"/>
              <w:rPr>
                <w:rFonts w:ascii="Calibri" w:eastAsia="Times New Roman" w:hAnsi="Calibri" w:cs="Times New Roman"/>
                <w:color w:val="000000"/>
              </w:rPr>
            </w:pPr>
          </w:p>
        </w:tc>
        <w:tc>
          <w:tcPr>
            <w:tcW w:w="4465" w:type="dxa"/>
            <w:shd w:val="clear" w:color="auto" w:fill="auto"/>
            <w:vAlign w:val="center"/>
          </w:tcPr>
          <w:p w:rsidR="00965195" w:rsidRPr="00965195" w:rsidRDefault="00743682" w:rsidP="006A706C">
            <w:pPr>
              <w:spacing w:after="0" w:line="240" w:lineRule="auto"/>
              <w:rPr>
                <w:rFonts w:ascii="Calibri" w:eastAsia="Times New Roman" w:hAnsi="Calibri" w:cs="Times New Roman"/>
              </w:rPr>
            </w:pPr>
            <w:r w:rsidRPr="00965195">
              <w:rPr>
                <w:sz w:val="20"/>
                <w:szCs w:val="20"/>
              </w:rPr>
              <w:t>If payment reform, including support from Medicare and commercial payers in addition to Medicaid, fails to support enhanced primary care model, (which includes the primary care medical/health home + community care team) delivery system reforms will be una</w:t>
            </w:r>
            <w:r w:rsidR="00965195" w:rsidRPr="00965195">
              <w:rPr>
                <w:sz w:val="20"/>
                <w:szCs w:val="20"/>
              </w:rPr>
              <w:t>ble to be adopted and sustained, t</w:t>
            </w:r>
            <w:r w:rsidRPr="00965195">
              <w:rPr>
                <w:sz w:val="20"/>
                <w:szCs w:val="20"/>
              </w:rPr>
              <w:t xml:space="preserve">hen </w:t>
            </w:r>
            <w:r w:rsidR="00965195" w:rsidRPr="00965195">
              <w:rPr>
                <w:sz w:val="20"/>
                <w:szCs w:val="20"/>
              </w:rPr>
              <w:t>the</w:t>
            </w:r>
          </w:p>
          <w:p w:rsidR="00965195" w:rsidRPr="00965195" w:rsidRDefault="00965195" w:rsidP="00965195">
            <w:pPr>
              <w:rPr>
                <w:rFonts w:ascii="Calibri" w:hAnsi="Calibri" w:cs="Calibri"/>
                <w:sz w:val="20"/>
                <w:szCs w:val="20"/>
              </w:rPr>
            </w:pPr>
            <w:r w:rsidRPr="00965195">
              <w:rPr>
                <w:sz w:val="20"/>
                <w:szCs w:val="20"/>
              </w:rPr>
              <w:t>Enhanced primary care model (primary care medical/health home + community care team) will be unable to be adopted and sustained</w:t>
            </w:r>
          </w:p>
          <w:p w:rsidR="007D0564" w:rsidRPr="006A706C" w:rsidRDefault="007D0564" w:rsidP="006A706C">
            <w:pPr>
              <w:spacing w:after="0" w:line="240" w:lineRule="auto"/>
              <w:rPr>
                <w:rFonts w:ascii="Calibri" w:eastAsia="Times New Roman" w:hAnsi="Calibri" w:cs="Times New Roman"/>
                <w:color w:val="000000"/>
              </w:rPr>
            </w:pPr>
          </w:p>
        </w:tc>
      </w:tr>
      <w:tr w:rsidR="007D0564" w:rsidRPr="00721454" w:rsidTr="00BB2A84">
        <w:trPr>
          <w:trHeight w:val="1332"/>
          <w:jc w:val="center"/>
        </w:trPr>
        <w:tc>
          <w:tcPr>
            <w:tcW w:w="1034" w:type="dxa"/>
            <w:shd w:val="clear" w:color="auto" w:fill="auto"/>
            <w:noWrap/>
            <w:vAlign w:val="center"/>
          </w:tcPr>
          <w:p w:rsidR="007D0564" w:rsidRPr="00721454" w:rsidRDefault="007D0564" w:rsidP="009B63E7">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#26</w:t>
            </w:r>
          </w:p>
        </w:tc>
        <w:tc>
          <w:tcPr>
            <w:tcW w:w="4361" w:type="dxa"/>
            <w:shd w:val="clear" w:color="auto" w:fill="auto"/>
            <w:vAlign w:val="center"/>
          </w:tcPr>
          <w:p w:rsidR="007D0564" w:rsidRPr="00721454" w:rsidRDefault="006A706C" w:rsidP="0056315C">
            <w:pPr>
              <w:spacing w:after="0" w:line="240" w:lineRule="auto"/>
              <w:jc w:val="both"/>
              <w:rPr>
                <w:rFonts w:ascii="Calibri" w:eastAsia="Times New Roman" w:hAnsi="Calibri" w:cs="Times New Roman"/>
                <w:color w:val="000000"/>
              </w:rPr>
            </w:pPr>
            <w:r>
              <w:t xml:space="preserve">The </w:t>
            </w:r>
            <w:r w:rsidRPr="006A706C">
              <w:rPr>
                <w:bCs/>
                <w:iCs/>
              </w:rPr>
              <w:t>current delivery system does not provide or foster robust, supported patient education across transitions of care, at wellness visits, or acute and chronic illness follow up that is patient centered</w:t>
            </w:r>
            <w:r w:rsidRPr="006A706C">
              <w:t xml:space="preserve">. </w:t>
            </w:r>
            <w:r w:rsidRPr="006A706C">
              <w:rPr>
                <w:bCs/>
                <w:iCs/>
              </w:rPr>
              <w:t>This results in poor patient understanding and satisfaction, additional cost and poor quality</w:t>
            </w:r>
            <w:r w:rsidRPr="006A706C">
              <w:t>.</w:t>
            </w:r>
          </w:p>
        </w:tc>
        <w:tc>
          <w:tcPr>
            <w:tcW w:w="4465" w:type="dxa"/>
            <w:shd w:val="clear" w:color="auto" w:fill="auto"/>
            <w:vAlign w:val="center"/>
          </w:tcPr>
          <w:p w:rsidR="007D0564" w:rsidRPr="00721454" w:rsidRDefault="006A706C" w:rsidP="0056315C">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 xml:space="preserve">If </w:t>
            </w:r>
            <w:r w:rsidRPr="006A706C">
              <w:rPr>
                <w:rFonts w:ascii="Calibri" w:eastAsia="Times New Roman" w:hAnsi="Calibri" w:cs="Times New Roman"/>
                <w:color w:val="000000"/>
              </w:rPr>
              <w:t>Patients aren't effectively educated about ways to manage chronic disease</w:t>
            </w:r>
            <w:r>
              <w:rPr>
                <w:rFonts w:ascii="Calibri" w:eastAsia="Times New Roman" w:hAnsi="Calibri" w:cs="Times New Roman"/>
                <w:color w:val="000000"/>
              </w:rPr>
              <w:t xml:space="preserve"> – Then- </w:t>
            </w:r>
            <w:r w:rsidRPr="006A706C">
              <w:rPr>
                <w:rFonts w:ascii="Calibri" w:eastAsia="Times New Roman" w:hAnsi="Calibri" w:cs="Times New Roman"/>
                <w:color w:val="000000"/>
              </w:rPr>
              <w:t>consumer and patient engagement goals will be negatively influenced</w:t>
            </w:r>
            <w:r>
              <w:rPr>
                <w:rFonts w:ascii="Calibri" w:eastAsia="Times New Roman" w:hAnsi="Calibri" w:cs="Times New Roman"/>
                <w:color w:val="000000"/>
              </w:rPr>
              <w:t>.</w:t>
            </w:r>
          </w:p>
        </w:tc>
      </w:tr>
    </w:tbl>
    <w:p w:rsidR="007D0564" w:rsidRDefault="007D0564" w:rsidP="00A114D2"/>
    <w:p w:rsidR="00721454" w:rsidRDefault="00881F93" w:rsidP="00881F93">
      <w:pPr>
        <w:shd w:val="clear" w:color="auto" w:fill="D9E2F3" w:themeFill="accent5" w:themeFillTint="33"/>
        <w:rPr>
          <w:rStyle w:val="Strong"/>
          <w:b w:val="0"/>
        </w:rPr>
      </w:pPr>
      <w:r w:rsidRPr="00CB611A">
        <w:rPr>
          <w:rStyle w:val="Strong"/>
          <w:b w:val="0"/>
        </w:rPr>
        <w:t>Summary of risks in progress:</w:t>
      </w:r>
    </w:p>
    <w:p w:rsidR="00721454" w:rsidRDefault="00721454" w:rsidP="00721454">
      <w:pPr>
        <w:rPr>
          <w:rStyle w:val="Strong"/>
          <w:b w:val="0"/>
        </w:rPr>
      </w:pPr>
      <w:r w:rsidRPr="00721454">
        <w:rPr>
          <w:rStyle w:val="Strong"/>
          <w:b w:val="0"/>
        </w:rPr>
        <w:t>All risks</w:t>
      </w:r>
      <w:r w:rsidR="006C0AA0">
        <w:rPr>
          <w:rStyle w:val="Strong"/>
          <w:b w:val="0"/>
        </w:rPr>
        <w:t xml:space="preserve"> owners have been contacted this month and updates are current to 7/30/14. Below is a table summarizing the summary to date of each risk in progress.</w:t>
      </w:r>
    </w:p>
    <w:tbl>
      <w:tblPr>
        <w:tblW w:w="9860" w:type="dxa"/>
        <w:tblInd w:w="-5" w:type="dxa"/>
        <w:tblLook w:val="04A0" w:firstRow="1" w:lastRow="0" w:firstColumn="1" w:lastColumn="0" w:noHBand="0" w:noVBand="1"/>
      </w:tblPr>
      <w:tblGrid>
        <w:gridCol w:w="1034"/>
        <w:gridCol w:w="4930"/>
        <w:gridCol w:w="3940"/>
      </w:tblGrid>
      <w:tr w:rsidR="00721454" w:rsidRPr="00721454" w:rsidTr="00651846">
        <w:trPr>
          <w:trHeight w:val="504"/>
        </w:trPr>
        <w:tc>
          <w:tcPr>
            <w:tcW w:w="99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rsidR="00721454" w:rsidRPr="00721454" w:rsidRDefault="00721454" w:rsidP="00721454">
            <w:pPr>
              <w:spacing w:after="0" w:line="240" w:lineRule="auto"/>
              <w:rPr>
                <w:rFonts w:ascii="Calibri" w:eastAsia="Times New Roman" w:hAnsi="Calibri" w:cs="Times New Roman"/>
                <w:b/>
                <w:bCs/>
                <w:color w:val="000000"/>
                <w:sz w:val="24"/>
                <w:szCs w:val="24"/>
              </w:rPr>
            </w:pPr>
            <w:r w:rsidRPr="00721454">
              <w:rPr>
                <w:rFonts w:ascii="Calibri" w:eastAsia="Times New Roman" w:hAnsi="Calibri" w:cs="Times New Roman"/>
                <w:b/>
                <w:bCs/>
                <w:color w:val="000000"/>
                <w:sz w:val="24"/>
                <w:szCs w:val="24"/>
              </w:rPr>
              <w:t>Risk Number</w:t>
            </w:r>
          </w:p>
        </w:tc>
        <w:tc>
          <w:tcPr>
            <w:tcW w:w="4930" w:type="dxa"/>
            <w:tcBorders>
              <w:top w:val="single" w:sz="4" w:space="0" w:color="auto"/>
              <w:left w:val="nil"/>
              <w:bottom w:val="single" w:sz="4" w:space="0" w:color="auto"/>
              <w:right w:val="single" w:sz="4" w:space="0" w:color="auto"/>
            </w:tcBorders>
            <w:shd w:val="clear" w:color="000000" w:fill="8EA9DB"/>
            <w:noWrap/>
            <w:vAlign w:val="bottom"/>
            <w:hideMark/>
          </w:tcPr>
          <w:p w:rsidR="00721454" w:rsidRPr="00721454" w:rsidRDefault="00721454" w:rsidP="00721454">
            <w:pPr>
              <w:spacing w:after="0" w:line="240" w:lineRule="auto"/>
              <w:rPr>
                <w:rFonts w:ascii="Calibri" w:eastAsia="Times New Roman" w:hAnsi="Calibri" w:cs="Times New Roman"/>
                <w:b/>
                <w:bCs/>
                <w:color w:val="000000"/>
                <w:sz w:val="24"/>
                <w:szCs w:val="24"/>
              </w:rPr>
            </w:pPr>
            <w:r w:rsidRPr="00721454">
              <w:rPr>
                <w:rFonts w:ascii="Calibri" w:eastAsia="Times New Roman" w:hAnsi="Calibri" w:cs="Times New Roman"/>
                <w:b/>
                <w:bCs/>
                <w:color w:val="000000"/>
                <w:sz w:val="24"/>
                <w:szCs w:val="24"/>
              </w:rPr>
              <w:t>Risk Summary</w:t>
            </w:r>
          </w:p>
        </w:tc>
        <w:tc>
          <w:tcPr>
            <w:tcW w:w="3940" w:type="dxa"/>
            <w:tcBorders>
              <w:top w:val="single" w:sz="4" w:space="0" w:color="auto"/>
              <w:left w:val="nil"/>
              <w:bottom w:val="single" w:sz="4" w:space="0" w:color="auto"/>
              <w:right w:val="single" w:sz="4" w:space="0" w:color="auto"/>
            </w:tcBorders>
            <w:shd w:val="clear" w:color="000000" w:fill="8EA9DB"/>
            <w:noWrap/>
            <w:vAlign w:val="bottom"/>
            <w:hideMark/>
          </w:tcPr>
          <w:p w:rsidR="00721454" w:rsidRPr="00721454" w:rsidRDefault="00721454" w:rsidP="00721454">
            <w:pPr>
              <w:spacing w:after="0" w:line="240" w:lineRule="auto"/>
              <w:rPr>
                <w:rFonts w:ascii="Calibri" w:eastAsia="Times New Roman" w:hAnsi="Calibri" w:cs="Times New Roman"/>
                <w:b/>
                <w:bCs/>
                <w:color w:val="000000"/>
                <w:sz w:val="24"/>
                <w:szCs w:val="24"/>
              </w:rPr>
            </w:pPr>
            <w:r w:rsidRPr="00721454">
              <w:rPr>
                <w:rFonts w:ascii="Calibri" w:eastAsia="Times New Roman" w:hAnsi="Calibri" w:cs="Times New Roman"/>
                <w:b/>
                <w:bCs/>
                <w:color w:val="000000"/>
                <w:sz w:val="24"/>
                <w:szCs w:val="24"/>
              </w:rPr>
              <w:t>Status</w:t>
            </w:r>
          </w:p>
        </w:tc>
      </w:tr>
      <w:tr w:rsidR="00721454" w:rsidRPr="00721454" w:rsidTr="00651846">
        <w:trPr>
          <w:trHeight w:val="54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#5</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Accountable Community development delays</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8/1/14 contract date expected</w:t>
            </w:r>
          </w:p>
        </w:tc>
      </w:tr>
      <w:tr w:rsidR="00721454" w:rsidRPr="00721454" w:rsidTr="00651846">
        <w:trPr>
          <w:trHeight w:val="852"/>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#6</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Behavioral Health (BH) EHR data functionality constraints across the vendors used in Maine</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On target at this date. Next decision point in October</w:t>
            </w:r>
          </w:p>
        </w:tc>
      </w:tr>
      <w:tr w:rsidR="00721454" w:rsidRPr="00721454" w:rsidTr="00651846">
        <w:trPr>
          <w:trHeight w:val="96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#11</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Behavioral Health Home Providers may not see a business case for their highest need members with SMI/ SED to be BHH members.</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Rates being reviewed</w:t>
            </w:r>
            <w:r w:rsidR="001C2763">
              <w:rPr>
                <w:rFonts w:ascii="Calibri" w:eastAsia="Times New Roman" w:hAnsi="Calibri" w:cs="Times New Roman"/>
                <w:color w:val="000000"/>
              </w:rPr>
              <w:t xml:space="preserve"> </w:t>
            </w:r>
          </w:p>
        </w:tc>
      </w:tr>
      <w:tr w:rsidR="00721454" w:rsidRPr="00721454" w:rsidTr="00651846">
        <w:trPr>
          <w:trHeight w:val="1152"/>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#19</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Appropriate Primary Care (APC) Behavioral Health Metric Feasibility</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Pathways to Excellence (PTE) BH group is working on development of BH quality measures</w:t>
            </w:r>
          </w:p>
        </w:tc>
      </w:tr>
      <w:tr w:rsidR="00721454" w:rsidRPr="00721454" w:rsidTr="00651846">
        <w:trPr>
          <w:trHeight w:val="86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#20</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Change capacity for provider community may be maxed out "change fatigue"</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In process of completing risk plan</w:t>
            </w:r>
          </w:p>
        </w:tc>
      </w:tr>
      <w:tr w:rsidR="00721454" w:rsidRPr="00721454" w:rsidTr="00651846">
        <w:trPr>
          <w:trHeight w:val="1332"/>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#21</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Relationship between all the players in the SIM initiatives, CHW, Peer Support, Care Coordinators, etc., may lead to fragmented care and complications for patients</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In process of completing risk plan</w:t>
            </w:r>
          </w:p>
        </w:tc>
      </w:tr>
      <w:tr w:rsidR="00721454" w:rsidRPr="00721454" w:rsidTr="00651846">
        <w:trPr>
          <w:trHeight w:val="74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#22</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Data gathering requirements for HH and BHHO quality measures is not determined</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 xml:space="preserve">In process of determining reporting requirements </w:t>
            </w:r>
          </w:p>
        </w:tc>
      </w:tr>
      <w:tr w:rsidR="00721454" w:rsidRPr="00721454" w:rsidTr="00651846">
        <w:trPr>
          <w:trHeight w:val="1716"/>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#23</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Barriers to passing certain behavioral health information (e.g., substance abuse) may constrain integrated care Barriers to passing certain behavioral health information (e.g., substance abuse) may constrain integrated care</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In process of completing risk plan</w:t>
            </w:r>
          </w:p>
        </w:tc>
      </w:tr>
      <w:tr w:rsidR="00721454" w:rsidRPr="00721454" w:rsidTr="00651846">
        <w:trPr>
          <w:trHeight w:val="576"/>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#27</w:t>
            </w:r>
          </w:p>
        </w:tc>
        <w:tc>
          <w:tcPr>
            <w:tcW w:w="493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Core measure set alignment for payment and contracting purposes.</w:t>
            </w:r>
          </w:p>
        </w:tc>
        <w:tc>
          <w:tcPr>
            <w:tcW w:w="3940" w:type="dxa"/>
            <w:tcBorders>
              <w:top w:val="nil"/>
              <w:left w:val="nil"/>
              <w:bottom w:val="single" w:sz="4" w:space="0" w:color="auto"/>
              <w:right w:val="single" w:sz="4" w:space="0" w:color="auto"/>
            </w:tcBorders>
            <w:shd w:val="clear" w:color="auto" w:fill="auto"/>
            <w:vAlign w:val="bottom"/>
            <w:hideMark/>
          </w:tcPr>
          <w:p w:rsidR="00721454" w:rsidRPr="00721454" w:rsidRDefault="00721454" w:rsidP="00721454">
            <w:pPr>
              <w:spacing w:after="0" w:line="240" w:lineRule="auto"/>
              <w:rPr>
                <w:rFonts w:ascii="Calibri" w:eastAsia="Times New Roman" w:hAnsi="Calibri" w:cs="Times New Roman"/>
                <w:color w:val="000000"/>
              </w:rPr>
            </w:pPr>
            <w:r w:rsidRPr="00721454">
              <w:rPr>
                <w:rFonts w:ascii="Calibri" w:eastAsia="Times New Roman" w:hAnsi="Calibri" w:cs="Times New Roman"/>
                <w:color w:val="000000"/>
              </w:rPr>
              <w:t>In process of completing risk plan</w:t>
            </w:r>
          </w:p>
        </w:tc>
      </w:tr>
    </w:tbl>
    <w:p w:rsidR="00C57788" w:rsidRDefault="00C57788" w:rsidP="00A114D2">
      <w:pPr>
        <w:rPr>
          <w:highlight w:val="yellow"/>
        </w:rPr>
      </w:pPr>
    </w:p>
    <w:p w:rsidR="00BB2A84" w:rsidRDefault="00BB2A84" w:rsidP="00A114D2"/>
    <w:p w:rsidR="00BB2A84" w:rsidRDefault="00BB2A84" w:rsidP="00A114D2"/>
    <w:p w:rsidR="00BB2A84" w:rsidRDefault="00BB2A84" w:rsidP="00A114D2"/>
    <w:p w:rsidR="00BB2A84" w:rsidRDefault="00BB2A84" w:rsidP="00A114D2"/>
    <w:p w:rsidR="00BB2A84" w:rsidRDefault="00BB2A84" w:rsidP="00A114D2"/>
    <w:p w:rsidR="001C2763" w:rsidRPr="001C2763" w:rsidRDefault="001C2763" w:rsidP="00A114D2">
      <w:r w:rsidRPr="001C2763">
        <w:t xml:space="preserve">Below </w:t>
      </w:r>
      <w:r>
        <w:t>are graphical representations of the July distribution of risks.</w:t>
      </w:r>
    </w:p>
    <w:p w:rsidR="00651846" w:rsidRDefault="00651846" w:rsidP="001C2763">
      <w:pPr>
        <w:jc w:val="center"/>
        <w:rPr>
          <w:highlight w:val="yellow"/>
        </w:rPr>
      </w:pPr>
      <w:r>
        <w:rPr>
          <w:noProof/>
        </w:rPr>
        <w:drawing>
          <wp:inline distT="0" distB="0" distL="0" distR="0" wp14:anchorId="7FC890A3" wp14:editId="5A1D211A">
            <wp:extent cx="4572000" cy="3291840"/>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51846" w:rsidRDefault="00651846" w:rsidP="00A114D2">
      <w:pPr>
        <w:rPr>
          <w:highlight w:val="yellow"/>
        </w:rPr>
      </w:pPr>
    </w:p>
    <w:p w:rsidR="00651846" w:rsidRDefault="00651846" w:rsidP="001C2763">
      <w:pPr>
        <w:jc w:val="center"/>
        <w:rPr>
          <w:highlight w:val="yellow"/>
        </w:rPr>
      </w:pPr>
      <w:r>
        <w:rPr>
          <w:noProof/>
        </w:rPr>
        <w:drawing>
          <wp:inline distT="0" distB="0" distL="0" distR="0" wp14:anchorId="5703ACDC" wp14:editId="248D79AF">
            <wp:extent cx="4237892" cy="2338754"/>
            <wp:effectExtent l="0" t="0" r="1079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2A84" w:rsidRDefault="00BB2A84" w:rsidP="001C2763">
      <w:pPr>
        <w:jc w:val="center"/>
        <w:rPr>
          <w:highlight w:val="yellow"/>
        </w:rPr>
      </w:pPr>
    </w:p>
    <w:p w:rsidR="00BB2A84" w:rsidRDefault="00BB2A84" w:rsidP="001C2763">
      <w:pPr>
        <w:jc w:val="center"/>
        <w:rPr>
          <w:highlight w:val="yellow"/>
        </w:rPr>
      </w:pPr>
    </w:p>
    <w:p w:rsidR="00BB2A84" w:rsidRDefault="00BB2A84" w:rsidP="001C2763">
      <w:pPr>
        <w:jc w:val="center"/>
        <w:rPr>
          <w:highlight w:val="yellow"/>
        </w:rPr>
      </w:pPr>
    </w:p>
    <w:p w:rsidR="00BB2A84" w:rsidRDefault="00BB2A84" w:rsidP="001C2763">
      <w:pPr>
        <w:jc w:val="center"/>
        <w:rPr>
          <w:highlight w:val="yellow"/>
        </w:rPr>
      </w:pPr>
    </w:p>
    <w:p w:rsidR="00BB2A84" w:rsidRDefault="00BB2A84" w:rsidP="001C2763">
      <w:pPr>
        <w:jc w:val="center"/>
        <w:rPr>
          <w:highlight w:val="yellow"/>
        </w:rPr>
      </w:pPr>
    </w:p>
    <w:p w:rsidR="00BB2A84" w:rsidRDefault="00BB2A84" w:rsidP="001C2763">
      <w:pPr>
        <w:jc w:val="center"/>
        <w:rPr>
          <w:highlight w:val="yellow"/>
        </w:rPr>
      </w:pPr>
    </w:p>
    <w:p w:rsidR="00BB2A84" w:rsidRDefault="00BB2A84" w:rsidP="001C2763">
      <w:pPr>
        <w:jc w:val="center"/>
        <w:rPr>
          <w:highlight w:val="yellow"/>
        </w:rPr>
      </w:pPr>
    </w:p>
    <w:p w:rsidR="00BB2A84" w:rsidRDefault="00BB2A84" w:rsidP="001C2763">
      <w:pPr>
        <w:jc w:val="center"/>
        <w:rPr>
          <w:highlight w:val="yellow"/>
        </w:rPr>
      </w:pPr>
    </w:p>
    <w:p w:rsidR="00C05714" w:rsidRPr="00CB611A" w:rsidRDefault="00C05714" w:rsidP="00C05714">
      <w:pPr>
        <w:shd w:val="clear" w:color="auto" w:fill="D9E2F3" w:themeFill="accent5" w:themeFillTint="33"/>
        <w:rPr>
          <w:rStyle w:val="Strong"/>
          <w:b w:val="0"/>
        </w:rPr>
      </w:pPr>
      <w:r>
        <w:rPr>
          <w:rStyle w:val="Strong"/>
          <w:b w:val="0"/>
        </w:rPr>
        <w:t>Description of how many risks are above/below the water line</w:t>
      </w:r>
      <w:r w:rsidRPr="00CB611A">
        <w:rPr>
          <w:rStyle w:val="Strong"/>
          <w:b w:val="0"/>
        </w:rPr>
        <w:t>:</w:t>
      </w:r>
    </w:p>
    <w:p w:rsidR="00C05714" w:rsidRDefault="00117CF6" w:rsidP="00A114D2">
      <w:r w:rsidRPr="00117CF6">
        <w:t>T</w:t>
      </w:r>
      <w:r w:rsidR="004E12CD">
        <w:t>his month t</w:t>
      </w:r>
      <w:r w:rsidRPr="00117CF6">
        <w:t>here a</w:t>
      </w:r>
      <w:r>
        <w:t xml:space="preserve">re </w:t>
      </w:r>
      <w:r w:rsidR="00C57788">
        <w:t>9 Risks above the water line and 15 risks below the water line as indicated in the chart below.</w:t>
      </w:r>
    </w:p>
    <w:p w:rsidR="00C57788" w:rsidRPr="00117CF6" w:rsidRDefault="000C69B9" w:rsidP="00651846">
      <w:pPr>
        <w:jc w:val="center"/>
      </w:pPr>
      <w:r>
        <w:rPr>
          <w:noProof/>
        </w:rPr>
        <w:drawing>
          <wp:inline distT="0" distB="0" distL="0" distR="0" wp14:anchorId="23FF7296" wp14:editId="1DC2B8D2">
            <wp:extent cx="4050323" cy="2309446"/>
            <wp:effectExtent l="0" t="0" r="762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5714" w:rsidRPr="00CB611A" w:rsidRDefault="00C05714" w:rsidP="00C05714">
      <w:pPr>
        <w:shd w:val="clear" w:color="auto" w:fill="D9E2F3" w:themeFill="accent5" w:themeFillTint="33"/>
        <w:rPr>
          <w:rStyle w:val="Strong"/>
          <w:b w:val="0"/>
        </w:rPr>
      </w:pPr>
      <w:r w:rsidRPr="00CB611A">
        <w:rPr>
          <w:rStyle w:val="Strong"/>
          <w:b w:val="0"/>
        </w:rPr>
        <w:t>Summary of newly opened risks:</w:t>
      </w:r>
    </w:p>
    <w:p w:rsidR="00C05714" w:rsidRDefault="00E844A5" w:rsidP="00A114D2">
      <w:r>
        <w:t xml:space="preserve">During review of the SIM partner monthly reports two potential new risks were identified. The risks are currently in process of review and may be entered into the risk log in the next month. </w:t>
      </w:r>
    </w:p>
    <w:p w:rsidR="004E12CD" w:rsidRPr="009363B3" w:rsidRDefault="004E12CD" w:rsidP="00A114D2"/>
    <w:p w:rsidR="00C05714" w:rsidRPr="00CB611A" w:rsidRDefault="00C05714" w:rsidP="00C05714">
      <w:pPr>
        <w:shd w:val="clear" w:color="auto" w:fill="D9E2F3" w:themeFill="accent5" w:themeFillTint="33"/>
        <w:rPr>
          <w:rStyle w:val="Strong"/>
          <w:b w:val="0"/>
        </w:rPr>
      </w:pPr>
      <w:r>
        <w:rPr>
          <w:rStyle w:val="Strong"/>
          <w:b w:val="0"/>
        </w:rPr>
        <w:t>Alignment per strategic pillar</w:t>
      </w:r>
      <w:r w:rsidRPr="00CB611A">
        <w:rPr>
          <w:rStyle w:val="Strong"/>
          <w:b w:val="0"/>
        </w:rPr>
        <w:t>:</w:t>
      </w:r>
    </w:p>
    <w:p w:rsidR="00641052" w:rsidRDefault="0005743F" w:rsidP="00A114D2">
      <w:r>
        <w:t>The risks with completed risk plans were queried and the risk per strategic pillar is summarized below. The strategic pillars of “Integrate Physical and Behavioral Health” and “Strengthen Primary Care” have three risks citing the strategic pillar. The Strategic pillars of “</w:t>
      </w:r>
      <w:r w:rsidRPr="0005743F">
        <w:t>Centralize Data and Analysis</w:t>
      </w:r>
      <w:r>
        <w:t>” and “</w:t>
      </w:r>
      <w:r w:rsidRPr="0005743F">
        <w:t>Engage People and Communities</w:t>
      </w:r>
      <w:r>
        <w:t>” currently have no risk plans completed. There is a risk in process of development that has not been assigned a priority calculation that will lie in the “</w:t>
      </w:r>
      <w:r w:rsidRPr="0005743F">
        <w:t>Engage People and Communities</w:t>
      </w:r>
      <w:r>
        <w:t>” strategic pillar.</w:t>
      </w:r>
    </w:p>
    <w:p w:rsidR="00C57788" w:rsidRDefault="009E5A50" w:rsidP="004E12CD">
      <w:pPr>
        <w:jc w:val="center"/>
        <w:rPr>
          <w:rStyle w:val="Strong"/>
          <w:b w:val="0"/>
        </w:rPr>
      </w:pPr>
      <w:r>
        <w:rPr>
          <w:noProof/>
        </w:rPr>
        <w:lastRenderedPageBreak/>
        <w:drawing>
          <wp:inline distT="0" distB="0" distL="0" distR="0" wp14:anchorId="610C59DD" wp14:editId="0A4E190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69B9" w:rsidRDefault="00E069B9" w:rsidP="004E12CD">
      <w:pPr>
        <w:jc w:val="center"/>
        <w:rPr>
          <w:rStyle w:val="Strong"/>
          <w:b w:val="0"/>
        </w:rPr>
      </w:pPr>
    </w:p>
    <w:p w:rsidR="004560AC" w:rsidRDefault="004560AC" w:rsidP="004560AC">
      <w:pPr>
        <w:shd w:val="clear" w:color="auto" w:fill="D9E2F3" w:themeFill="accent5" w:themeFillTint="33"/>
        <w:rPr>
          <w:rStyle w:val="Strong"/>
          <w:b w:val="0"/>
        </w:rPr>
      </w:pPr>
      <w:r w:rsidRPr="00CB611A">
        <w:rPr>
          <w:rStyle w:val="Strong"/>
          <w:b w:val="0"/>
        </w:rPr>
        <w:t xml:space="preserve">Summary </w:t>
      </w:r>
      <w:r>
        <w:rPr>
          <w:rStyle w:val="Strong"/>
          <w:b w:val="0"/>
        </w:rPr>
        <w:t>risk ownership</w:t>
      </w:r>
      <w:r w:rsidRPr="00CB611A">
        <w:rPr>
          <w:rStyle w:val="Strong"/>
          <w:b w:val="0"/>
        </w:rPr>
        <w:t>:</w:t>
      </w:r>
    </w:p>
    <w:p w:rsidR="006D77BD" w:rsidRDefault="006D77BD" w:rsidP="006D77BD">
      <w:r w:rsidRPr="006E4151">
        <w:t xml:space="preserve">This month there are </w:t>
      </w:r>
      <w:r w:rsidR="006E4151" w:rsidRPr="006E4151">
        <w:t>four</w:t>
      </w:r>
      <w:r w:rsidR="00387AB1" w:rsidRPr="006E4151">
        <w:t xml:space="preserve"> r</w:t>
      </w:r>
      <w:r w:rsidRPr="006E4151">
        <w:t xml:space="preserve">isks </w:t>
      </w:r>
      <w:r w:rsidR="00387AB1" w:rsidRPr="006E4151">
        <w:t>r</w:t>
      </w:r>
      <w:r w:rsidR="006E4151" w:rsidRPr="006E4151">
        <w:t xml:space="preserve">esiding in Delivery System Reform, three in the Steering Committee and one each in Payment Reform and Data Infrastructure Subcommittees </w:t>
      </w:r>
      <w:r w:rsidRPr="006E4151">
        <w:t>as indicated in the chart below.</w:t>
      </w:r>
    </w:p>
    <w:p w:rsidR="00506099" w:rsidRPr="00CB611A" w:rsidRDefault="00506099" w:rsidP="00506099">
      <w:pPr>
        <w:rPr>
          <w:rStyle w:val="Strong"/>
          <w:b w:val="0"/>
        </w:rPr>
      </w:pPr>
    </w:p>
    <w:p w:rsidR="004560AC" w:rsidRDefault="009E5A50" w:rsidP="004E12CD">
      <w:pPr>
        <w:jc w:val="center"/>
        <w:rPr>
          <w:rStyle w:val="Strong"/>
          <w:b w:val="0"/>
        </w:rPr>
      </w:pPr>
      <w:r>
        <w:rPr>
          <w:noProof/>
        </w:rPr>
        <w:drawing>
          <wp:inline distT="0" distB="0" distL="0" distR="0" wp14:anchorId="3E6BC348" wp14:editId="04B38D1F">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60AC" w:rsidRPr="00CB611A" w:rsidRDefault="004560AC" w:rsidP="004560AC">
      <w:pPr>
        <w:rPr>
          <w:rStyle w:val="Strong"/>
          <w:b w:val="0"/>
        </w:rPr>
      </w:pPr>
    </w:p>
    <w:p w:rsidR="00B85792" w:rsidRDefault="00CB611A" w:rsidP="00CB611A">
      <w:pPr>
        <w:shd w:val="clear" w:color="auto" w:fill="D9E2F3" w:themeFill="accent5" w:themeFillTint="33"/>
        <w:rPr>
          <w:rStyle w:val="Strong"/>
          <w:b w:val="0"/>
        </w:rPr>
      </w:pPr>
      <w:r w:rsidRPr="00CB611A">
        <w:rPr>
          <w:rStyle w:val="Strong"/>
          <w:b w:val="0"/>
        </w:rPr>
        <w:t>Summary of resolved risks:</w:t>
      </w:r>
    </w:p>
    <w:p w:rsidR="00B85792" w:rsidRDefault="00B85792" w:rsidP="00B85792">
      <w:r>
        <w:t xml:space="preserve">The MHMC raised this risk at a time where hiring needed </w:t>
      </w:r>
      <w:r w:rsidRPr="009C1F68">
        <w:t>Data Analytics Professionals</w:t>
      </w:r>
      <w:r>
        <w:t xml:space="preserve"> was difficult.  The MHMC was able to hire the needed personnel and thus the risk is no longer relevant and is closed. </w:t>
      </w:r>
    </w:p>
    <w:p w:rsidR="00B85792" w:rsidRDefault="00B85792" w:rsidP="00B85792">
      <w:r>
        <w:t xml:space="preserve">Risk #15- </w:t>
      </w:r>
      <w:r w:rsidRPr="009C1F68">
        <w:t>Challenges in finding and hiring qualified Data Analytics Professionals.</w:t>
      </w:r>
    </w:p>
    <w:p w:rsidR="00E069B9" w:rsidRDefault="00E069B9" w:rsidP="00B85792">
      <w:pPr>
        <w:rPr>
          <w:rStyle w:val="Strong"/>
          <w:b w:val="0"/>
        </w:rPr>
      </w:pPr>
    </w:p>
    <w:p w:rsidR="00CB611A" w:rsidRPr="00CB611A" w:rsidRDefault="009C1F68" w:rsidP="00CB611A">
      <w:pPr>
        <w:shd w:val="clear" w:color="auto" w:fill="D9E2F3" w:themeFill="accent5" w:themeFillTint="33"/>
        <w:rPr>
          <w:rStyle w:val="Strong"/>
          <w:b w:val="0"/>
        </w:rPr>
      </w:pPr>
      <w:r w:rsidRPr="00CB611A">
        <w:rPr>
          <w:rStyle w:val="Strong"/>
          <w:b w:val="0"/>
        </w:rPr>
        <w:lastRenderedPageBreak/>
        <w:t xml:space="preserve"> </w:t>
      </w:r>
      <w:r w:rsidR="00CB611A" w:rsidRPr="00CB611A">
        <w:rPr>
          <w:rStyle w:val="Strong"/>
          <w:b w:val="0"/>
        </w:rPr>
        <w:t>Summary of closed risks:</w:t>
      </w:r>
    </w:p>
    <w:tbl>
      <w:tblPr>
        <w:tblW w:w="9607" w:type="dxa"/>
        <w:tblCellMar>
          <w:left w:w="0" w:type="dxa"/>
          <w:right w:w="0" w:type="dxa"/>
        </w:tblCellMar>
        <w:tblLook w:val="04A0" w:firstRow="1" w:lastRow="0" w:firstColumn="1" w:lastColumn="0" w:noHBand="0" w:noVBand="1"/>
      </w:tblPr>
      <w:tblGrid>
        <w:gridCol w:w="961"/>
        <w:gridCol w:w="8646"/>
      </w:tblGrid>
      <w:tr w:rsidR="00B85792" w:rsidTr="00B85792">
        <w:trPr>
          <w:trHeight w:val="261"/>
        </w:trPr>
        <w:tc>
          <w:tcPr>
            <w:tcW w:w="945" w:type="dxa"/>
            <w:shd w:val="clear" w:color="auto" w:fill="auto"/>
            <w:noWrap/>
            <w:hideMark/>
          </w:tcPr>
          <w:p w:rsidR="00B85792" w:rsidRDefault="00B85792" w:rsidP="00CB042A">
            <w:pPr>
              <w:rPr>
                <w:rFonts w:ascii="Calibri" w:hAnsi="Calibri"/>
                <w:color w:val="000000"/>
              </w:rPr>
            </w:pPr>
            <w:r>
              <w:rPr>
                <w:rFonts w:ascii="Calibri" w:hAnsi="Calibri"/>
                <w:color w:val="000000"/>
              </w:rPr>
              <w:t>Risk # 4-</w:t>
            </w:r>
          </w:p>
        </w:tc>
        <w:tc>
          <w:tcPr>
            <w:tcW w:w="8662" w:type="dxa"/>
            <w:shd w:val="clear" w:color="auto" w:fill="auto"/>
            <w:hideMark/>
          </w:tcPr>
          <w:p w:rsidR="00B85792" w:rsidRDefault="00B85792" w:rsidP="00CB042A">
            <w:pPr>
              <w:rPr>
                <w:rFonts w:ascii="Calibri" w:hAnsi="Calibri"/>
              </w:rPr>
            </w:pPr>
            <w:r>
              <w:rPr>
                <w:rFonts w:ascii="Calibri" w:hAnsi="Calibri"/>
              </w:rPr>
              <w:t>Self-Evaluation Implementation Delay</w:t>
            </w:r>
          </w:p>
        </w:tc>
      </w:tr>
      <w:tr w:rsidR="00B85792" w:rsidTr="00B85792">
        <w:trPr>
          <w:trHeight w:val="827"/>
        </w:trPr>
        <w:tc>
          <w:tcPr>
            <w:tcW w:w="945" w:type="dxa"/>
            <w:shd w:val="clear" w:color="auto" w:fill="auto"/>
            <w:noWrap/>
            <w:hideMark/>
          </w:tcPr>
          <w:p w:rsidR="00B85792" w:rsidRDefault="00B85792" w:rsidP="00CB042A">
            <w:pPr>
              <w:rPr>
                <w:rFonts w:ascii="Calibri" w:hAnsi="Calibri"/>
                <w:color w:val="000000"/>
                <w:sz w:val="24"/>
                <w:szCs w:val="24"/>
              </w:rPr>
            </w:pPr>
            <w:r>
              <w:rPr>
                <w:rFonts w:ascii="Calibri" w:hAnsi="Calibri"/>
                <w:color w:val="000000"/>
              </w:rPr>
              <w:t>Risk # 10-</w:t>
            </w:r>
          </w:p>
        </w:tc>
        <w:tc>
          <w:tcPr>
            <w:tcW w:w="8662" w:type="dxa"/>
            <w:shd w:val="clear" w:color="auto" w:fill="auto"/>
            <w:hideMark/>
          </w:tcPr>
          <w:p w:rsidR="00B85792" w:rsidRDefault="00B85792" w:rsidP="00CB042A">
            <w:pPr>
              <w:rPr>
                <w:rFonts w:ascii="Calibri" w:hAnsi="Calibri"/>
              </w:rPr>
            </w:pPr>
            <w:r>
              <w:rPr>
                <w:rFonts w:ascii="Calibri" w:hAnsi="Calibri"/>
              </w:rPr>
              <w:t>PHR Patient Portal Pilot Partner unable to align resource allocation with SIM timelines</w:t>
            </w:r>
          </w:p>
        </w:tc>
      </w:tr>
    </w:tbl>
    <w:p w:rsidR="00B85792" w:rsidRDefault="00B85792" w:rsidP="00C57788"/>
    <w:p w:rsidR="00CB611A" w:rsidRPr="002C65A6" w:rsidRDefault="002C65A6" w:rsidP="002C65A6">
      <w:pPr>
        <w:tabs>
          <w:tab w:val="left" w:pos="3240"/>
        </w:tabs>
      </w:pPr>
      <w:r>
        <w:tab/>
      </w:r>
    </w:p>
    <w:sectPr w:rsidR="00CB611A" w:rsidRPr="002C65A6" w:rsidSect="00E069B9">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83" w:rsidRDefault="00D32183" w:rsidP="001D05C7">
      <w:pPr>
        <w:spacing w:after="0" w:line="240" w:lineRule="auto"/>
      </w:pPr>
      <w:r>
        <w:separator/>
      </w:r>
    </w:p>
  </w:endnote>
  <w:endnote w:type="continuationSeparator" w:id="0">
    <w:p w:rsidR="00D32183" w:rsidRDefault="00D32183" w:rsidP="001D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768919"/>
      <w:docPartObj>
        <w:docPartGallery w:val="Page Numbers (Bottom of Page)"/>
        <w:docPartUnique/>
      </w:docPartObj>
    </w:sdtPr>
    <w:sdtEndPr>
      <w:rPr>
        <w:noProof/>
      </w:rPr>
    </w:sdtEndPr>
    <w:sdtContent>
      <w:p w:rsidR="001D05C7" w:rsidRDefault="001D05C7" w:rsidP="001D05C7">
        <w:pPr>
          <w:pStyle w:val="Header"/>
        </w:pPr>
        <w:r>
          <w:fldChar w:fldCharType="begin"/>
        </w:r>
        <w:r>
          <w:instrText xml:space="preserve"> PAGE   \* MERGEFORMAT </w:instrText>
        </w:r>
        <w:r>
          <w:fldChar w:fldCharType="separate"/>
        </w:r>
        <w:r w:rsidR="00965195">
          <w:rPr>
            <w:noProof/>
          </w:rPr>
          <w:t>1</w:t>
        </w:r>
        <w:r>
          <w:rPr>
            <w:noProof/>
          </w:rPr>
          <w:fldChar w:fldCharType="end"/>
        </w:r>
        <w:r>
          <w:rPr>
            <w:noProof/>
          </w:rPr>
          <w:t xml:space="preserve">      </w:t>
        </w:r>
        <w:r w:rsidR="00E069B9">
          <w:t>8/4</w:t>
        </w:r>
        <w:r>
          <w:t>/2014</w:t>
        </w:r>
      </w:p>
      <w:p w:rsidR="001D05C7" w:rsidRDefault="00D32183">
        <w:pPr>
          <w:pStyle w:val="Footer"/>
        </w:pPr>
      </w:p>
    </w:sdtContent>
  </w:sdt>
  <w:p w:rsidR="001D05C7" w:rsidRDefault="001D0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83" w:rsidRDefault="00D32183" w:rsidP="001D05C7">
      <w:pPr>
        <w:spacing w:after="0" w:line="240" w:lineRule="auto"/>
      </w:pPr>
      <w:r>
        <w:separator/>
      </w:r>
    </w:p>
  </w:footnote>
  <w:footnote w:type="continuationSeparator" w:id="0">
    <w:p w:rsidR="00D32183" w:rsidRDefault="00D32183" w:rsidP="001D0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B9" w:rsidRDefault="00E069B9" w:rsidP="00E069B9">
    <w:pPr>
      <w:pStyle w:val="Header"/>
      <w:tabs>
        <w:tab w:val="clear" w:pos="4680"/>
        <w:tab w:val="clear" w:pos="9360"/>
        <w:tab w:val="left" w:pos="109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D2"/>
    <w:rsid w:val="0005743F"/>
    <w:rsid w:val="00064E88"/>
    <w:rsid w:val="00076728"/>
    <w:rsid w:val="000801A8"/>
    <w:rsid w:val="000C69B9"/>
    <w:rsid w:val="000D08F2"/>
    <w:rsid w:val="000E4979"/>
    <w:rsid w:val="00117CF6"/>
    <w:rsid w:val="00136450"/>
    <w:rsid w:val="001571EE"/>
    <w:rsid w:val="00163037"/>
    <w:rsid w:val="001C2763"/>
    <w:rsid w:val="001D05C7"/>
    <w:rsid w:val="001F7930"/>
    <w:rsid w:val="002157C1"/>
    <w:rsid w:val="002942D5"/>
    <w:rsid w:val="002C65A6"/>
    <w:rsid w:val="002D7049"/>
    <w:rsid w:val="002E0CFC"/>
    <w:rsid w:val="00321534"/>
    <w:rsid w:val="003336F0"/>
    <w:rsid w:val="003468A3"/>
    <w:rsid w:val="00387AB1"/>
    <w:rsid w:val="003D5BE8"/>
    <w:rsid w:val="004076E5"/>
    <w:rsid w:val="00413AE0"/>
    <w:rsid w:val="00441B29"/>
    <w:rsid w:val="004460FD"/>
    <w:rsid w:val="004560AC"/>
    <w:rsid w:val="00490892"/>
    <w:rsid w:val="00493E2E"/>
    <w:rsid w:val="00494496"/>
    <w:rsid w:val="004E12CD"/>
    <w:rsid w:val="004E59F8"/>
    <w:rsid w:val="00506099"/>
    <w:rsid w:val="00506ACD"/>
    <w:rsid w:val="0056315C"/>
    <w:rsid w:val="005B0127"/>
    <w:rsid w:val="00641052"/>
    <w:rsid w:val="00644344"/>
    <w:rsid w:val="006472B5"/>
    <w:rsid w:val="00651846"/>
    <w:rsid w:val="0066726D"/>
    <w:rsid w:val="00686DA1"/>
    <w:rsid w:val="006A706C"/>
    <w:rsid w:val="006C0AA0"/>
    <w:rsid w:val="006D77BD"/>
    <w:rsid w:val="006E4151"/>
    <w:rsid w:val="00721454"/>
    <w:rsid w:val="007231EA"/>
    <w:rsid w:val="00743682"/>
    <w:rsid w:val="007447C2"/>
    <w:rsid w:val="0074768A"/>
    <w:rsid w:val="007665C9"/>
    <w:rsid w:val="007A12C1"/>
    <w:rsid w:val="007B22F1"/>
    <w:rsid w:val="007C6F08"/>
    <w:rsid w:val="007D0564"/>
    <w:rsid w:val="007E3410"/>
    <w:rsid w:val="007E527D"/>
    <w:rsid w:val="00881F93"/>
    <w:rsid w:val="008A774F"/>
    <w:rsid w:val="008F2B55"/>
    <w:rsid w:val="00905AA0"/>
    <w:rsid w:val="00935B6C"/>
    <w:rsid w:val="009363B3"/>
    <w:rsid w:val="009424C8"/>
    <w:rsid w:val="00965195"/>
    <w:rsid w:val="0098453F"/>
    <w:rsid w:val="009C1F68"/>
    <w:rsid w:val="009E5A50"/>
    <w:rsid w:val="009F3CDF"/>
    <w:rsid w:val="00A114D2"/>
    <w:rsid w:val="00A13D86"/>
    <w:rsid w:val="00A21F63"/>
    <w:rsid w:val="00A31B77"/>
    <w:rsid w:val="00A45557"/>
    <w:rsid w:val="00AC06BA"/>
    <w:rsid w:val="00AE4E9D"/>
    <w:rsid w:val="00AE513C"/>
    <w:rsid w:val="00B04331"/>
    <w:rsid w:val="00B40B67"/>
    <w:rsid w:val="00B60E1B"/>
    <w:rsid w:val="00B65E27"/>
    <w:rsid w:val="00B704B5"/>
    <w:rsid w:val="00B72B04"/>
    <w:rsid w:val="00B75569"/>
    <w:rsid w:val="00B85792"/>
    <w:rsid w:val="00BB2A84"/>
    <w:rsid w:val="00BE4819"/>
    <w:rsid w:val="00C05714"/>
    <w:rsid w:val="00C57788"/>
    <w:rsid w:val="00C751D8"/>
    <w:rsid w:val="00C80FCB"/>
    <w:rsid w:val="00C84C4F"/>
    <w:rsid w:val="00C8525A"/>
    <w:rsid w:val="00C90805"/>
    <w:rsid w:val="00CB611A"/>
    <w:rsid w:val="00CD49F1"/>
    <w:rsid w:val="00D32183"/>
    <w:rsid w:val="00D37B95"/>
    <w:rsid w:val="00D811C1"/>
    <w:rsid w:val="00D911E8"/>
    <w:rsid w:val="00DD3A51"/>
    <w:rsid w:val="00E069B9"/>
    <w:rsid w:val="00E2013E"/>
    <w:rsid w:val="00E24385"/>
    <w:rsid w:val="00E65189"/>
    <w:rsid w:val="00E844A5"/>
    <w:rsid w:val="00EC48F7"/>
    <w:rsid w:val="00F52DD7"/>
    <w:rsid w:val="00F61920"/>
    <w:rsid w:val="00FC20CC"/>
    <w:rsid w:val="00FC4DB9"/>
    <w:rsid w:val="00FD285B"/>
    <w:rsid w:val="00FF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4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4D2"/>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CB611A"/>
    <w:rPr>
      <w:b/>
      <w:bCs/>
    </w:rPr>
  </w:style>
  <w:style w:type="paragraph" w:styleId="Header">
    <w:name w:val="header"/>
    <w:basedOn w:val="Normal"/>
    <w:link w:val="HeaderChar"/>
    <w:uiPriority w:val="99"/>
    <w:unhideWhenUsed/>
    <w:rsid w:val="001D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C7"/>
  </w:style>
  <w:style w:type="paragraph" w:styleId="Footer">
    <w:name w:val="footer"/>
    <w:basedOn w:val="Normal"/>
    <w:link w:val="FooterChar"/>
    <w:uiPriority w:val="99"/>
    <w:unhideWhenUsed/>
    <w:rsid w:val="001D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C7"/>
  </w:style>
  <w:style w:type="paragraph" w:styleId="BalloonText">
    <w:name w:val="Balloon Text"/>
    <w:basedOn w:val="Normal"/>
    <w:link w:val="BalloonTextChar"/>
    <w:uiPriority w:val="99"/>
    <w:semiHidden/>
    <w:unhideWhenUsed/>
    <w:rsid w:val="0074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14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4D2"/>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CB611A"/>
    <w:rPr>
      <w:b/>
      <w:bCs/>
    </w:rPr>
  </w:style>
  <w:style w:type="paragraph" w:styleId="Header">
    <w:name w:val="header"/>
    <w:basedOn w:val="Normal"/>
    <w:link w:val="HeaderChar"/>
    <w:uiPriority w:val="99"/>
    <w:unhideWhenUsed/>
    <w:rsid w:val="001D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C7"/>
  </w:style>
  <w:style w:type="paragraph" w:styleId="Footer">
    <w:name w:val="footer"/>
    <w:basedOn w:val="Normal"/>
    <w:link w:val="FooterChar"/>
    <w:uiPriority w:val="99"/>
    <w:unhideWhenUsed/>
    <w:rsid w:val="001D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C7"/>
  </w:style>
  <w:style w:type="paragraph" w:styleId="BalloonText">
    <w:name w:val="Balloon Text"/>
    <w:basedOn w:val="Normal"/>
    <w:link w:val="BalloonTextChar"/>
    <w:uiPriority w:val="99"/>
    <w:semiHidden/>
    <w:unhideWhenUsed/>
    <w:rsid w:val="0074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8964">
      <w:bodyDiv w:val="1"/>
      <w:marLeft w:val="0"/>
      <w:marRight w:val="0"/>
      <w:marTop w:val="0"/>
      <w:marBottom w:val="0"/>
      <w:divBdr>
        <w:top w:val="none" w:sz="0" w:space="0" w:color="auto"/>
        <w:left w:val="none" w:sz="0" w:space="0" w:color="auto"/>
        <w:bottom w:val="none" w:sz="0" w:space="0" w:color="auto"/>
        <w:right w:val="none" w:sz="0" w:space="0" w:color="auto"/>
      </w:divBdr>
    </w:div>
    <w:div w:id="699598101">
      <w:bodyDiv w:val="1"/>
      <w:marLeft w:val="0"/>
      <w:marRight w:val="0"/>
      <w:marTop w:val="0"/>
      <w:marBottom w:val="0"/>
      <w:divBdr>
        <w:top w:val="none" w:sz="0" w:space="0" w:color="auto"/>
        <w:left w:val="none" w:sz="0" w:space="0" w:color="auto"/>
        <w:bottom w:val="none" w:sz="0" w:space="0" w:color="auto"/>
        <w:right w:val="none" w:sz="0" w:space="0" w:color="auto"/>
      </w:divBdr>
    </w:div>
    <w:div w:id="718214051">
      <w:bodyDiv w:val="1"/>
      <w:marLeft w:val="0"/>
      <w:marRight w:val="0"/>
      <w:marTop w:val="0"/>
      <w:marBottom w:val="0"/>
      <w:divBdr>
        <w:top w:val="none" w:sz="0" w:space="0" w:color="auto"/>
        <w:left w:val="none" w:sz="0" w:space="0" w:color="auto"/>
        <w:bottom w:val="none" w:sz="0" w:space="0" w:color="auto"/>
        <w:right w:val="none" w:sz="0" w:space="0" w:color="auto"/>
      </w:divBdr>
    </w:div>
    <w:div w:id="9326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aclarke\Documents\Risk%20plan\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aclarke\Documents\Risk%20plan\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aclarke\Documents\Risk%20plan\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aclarke\Documents\Risk%20plan\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aclarke\Documents\Risk%20plan\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July Risk Summary</a:t>
            </a:r>
          </a:p>
        </c:rich>
      </c:tx>
      <c:overlay val="0"/>
      <c:spPr>
        <a:noFill/>
        <a:ln>
          <a:noFill/>
        </a:ln>
        <a:effectLst/>
      </c:spPr>
    </c:title>
    <c:autoTitleDeleted val="0"/>
    <c:plotArea>
      <c:layout/>
      <c:barChart>
        <c:barDir val="bar"/>
        <c:grouping val="clustered"/>
        <c:varyColors val="1"/>
        <c:ser>
          <c:idx val="0"/>
          <c:order val="0"/>
          <c:invertIfNegative val="0"/>
          <c:dPt>
            <c:idx val="0"/>
            <c:invertIfNegative val="0"/>
            <c:bubble3D val="0"/>
            <c:spPr>
              <a:solidFill>
                <a:schemeClr val="accent6"/>
              </a:solidFill>
              <a:ln>
                <a:noFill/>
              </a:ln>
              <a:effectLst/>
            </c:spPr>
          </c:dPt>
          <c:dPt>
            <c:idx val="1"/>
            <c:invertIfNegative val="0"/>
            <c:bubble3D val="0"/>
            <c:spPr>
              <a:solidFill>
                <a:schemeClr val="accent5"/>
              </a:solidFill>
              <a:ln>
                <a:noFill/>
              </a:ln>
              <a:effectLst/>
            </c:spPr>
          </c:dPt>
          <c:dPt>
            <c:idx val="2"/>
            <c:invertIfNegative val="0"/>
            <c:bubble3D val="0"/>
            <c:spPr>
              <a:solidFill>
                <a:schemeClr val="accent4"/>
              </a:solidFill>
              <a:ln>
                <a:noFill/>
              </a:ln>
              <a:effectLst/>
            </c:spPr>
          </c:dPt>
          <c:dPt>
            <c:idx val="3"/>
            <c:invertIfNegative val="0"/>
            <c:bubble3D val="0"/>
            <c:spPr>
              <a:solidFill>
                <a:schemeClr val="accent6">
                  <a:lumMod val="60000"/>
                </a:schemeClr>
              </a:solidFill>
              <a:ln>
                <a:noFill/>
              </a:ln>
              <a:effectLst/>
            </c:spPr>
          </c:dPt>
          <c:dPt>
            <c:idx val="4"/>
            <c:invertIfNegative val="0"/>
            <c:bubble3D val="0"/>
            <c:spPr>
              <a:solidFill>
                <a:schemeClr val="accent5">
                  <a:lumMod val="60000"/>
                </a:schemeClr>
              </a:solidFill>
              <a:ln>
                <a:noFill/>
              </a:ln>
              <a:effectLst/>
            </c:spPr>
          </c:dPt>
          <c:dPt>
            <c:idx val="5"/>
            <c:invertIfNegative val="0"/>
            <c:bubble3D val="0"/>
            <c:spPr>
              <a:solidFill>
                <a:schemeClr val="accent4">
                  <a:lumMod val="60000"/>
                </a:schemeClr>
              </a:solidFill>
              <a:ln>
                <a:noFill/>
              </a:ln>
              <a:effectLst/>
            </c:spPr>
          </c:dPt>
          <c:dPt>
            <c:idx val="6"/>
            <c:invertIfNegative val="0"/>
            <c:bubble3D val="0"/>
            <c:spPr>
              <a:solidFill>
                <a:schemeClr val="accent6">
                  <a:lumMod val="80000"/>
                  <a:lumOff val="20000"/>
                </a:schemeClr>
              </a:solidFill>
              <a:ln>
                <a:noFill/>
              </a:ln>
              <a:effectLst/>
            </c:spPr>
          </c:dPt>
          <c:dPt>
            <c:idx val="7"/>
            <c:invertIfNegative val="0"/>
            <c:bubble3D val="0"/>
            <c:spPr>
              <a:solidFill>
                <a:schemeClr val="accent5">
                  <a:lumMod val="80000"/>
                  <a:lumOff val="20000"/>
                </a:schemeClr>
              </a:solidFill>
              <a:ln>
                <a:noFill/>
              </a:ln>
              <a:effectLst/>
            </c:spPr>
          </c:dPt>
          <c:dPt>
            <c:idx val="8"/>
            <c:invertIfNegative val="0"/>
            <c:bubble3D val="0"/>
            <c:spPr>
              <a:solidFill>
                <a:schemeClr val="accent4">
                  <a:lumMod val="80000"/>
                  <a:lumOff val="20000"/>
                </a:schemeClr>
              </a:solidFill>
              <a:ln>
                <a:noFill/>
              </a:ln>
              <a:effectLst/>
            </c:spPr>
          </c:dPt>
          <c:dPt>
            <c:idx val="9"/>
            <c:invertIfNegative val="0"/>
            <c:bubble3D val="0"/>
            <c:spPr>
              <a:solidFill>
                <a:schemeClr val="accent6">
                  <a:lumMod val="8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risk summary'!$B$5:$B$14</c:f>
              <c:strCache>
                <c:ptCount val="10"/>
                <c:pt idx="2">
                  <c:v>Below the Water Line </c:v>
                </c:pt>
                <c:pt idx="3">
                  <c:v>In Progress</c:v>
                </c:pt>
                <c:pt idx="4">
                  <c:v>Risk Plans Complete</c:v>
                </c:pt>
                <c:pt idx="5">
                  <c:v>Risk Plans in Progress</c:v>
                </c:pt>
                <c:pt idx="6">
                  <c:v>Closed</c:v>
                </c:pt>
                <c:pt idx="7">
                  <c:v>Newly above the water line</c:v>
                </c:pt>
                <c:pt idx="8">
                  <c:v>Newly Opened</c:v>
                </c:pt>
                <c:pt idx="9">
                  <c:v>Resolved</c:v>
                </c:pt>
              </c:strCache>
            </c:strRef>
          </c:cat>
          <c:val>
            <c:numRef>
              <c:f>'Monthly risk summary'!$C$5:$C$14</c:f>
              <c:numCache>
                <c:formatCode>General</c:formatCode>
                <c:ptCount val="10"/>
                <c:pt idx="2">
                  <c:v>15</c:v>
                </c:pt>
                <c:pt idx="3" formatCode="0">
                  <c:v>9</c:v>
                </c:pt>
                <c:pt idx="4" formatCode="0">
                  <c:v>5</c:v>
                </c:pt>
                <c:pt idx="5" formatCode="0">
                  <c:v>5</c:v>
                </c:pt>
                <c:pt idx="6" formatCode="0">
                  <c:v>1</c:v>
                </c:pt>
                <c:pt idx="7" formatCode="0">
                  <c:v>1</c:v>
                </c:pt>
                <c:pt idx="8" formatCode="0">
                  <c:v>0</c:v>
                </c:pt>
                <c:pt idx="9" formatCode="0">
                  <c:v>0</c:v>
                </c:pt>
              </c:numCache>
            </c:numRef>
          </c:val>
        </c:ser>
        <c:dLbls>
          <c:dLblPos val="inEnd"/>
          <c:showLegendKey val="0"/>
          <c:showVal val="1"/>
          <c:showCatName val="0"/>
          <c:showSerName val="0"/>
          <c:showPercent val="0"/>
          <c:showBubbleSize val="0"/>
        </c:dLbls>
        <c:gapWidth val="182"/>
        <c:axId val="323246336"/>
        <c:axId val="373910912"/>
      </c:barChart>
      <c:catAx>
        <c:axId val="32324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910912"/>
        <c:crosses val="autoZero"/>
        <c:auto val="1"/>
        <c:lblAlgn val="ctr"/>
        <c:lblOffset val="100"/>
        <c:noMultiLvlLbl val="0"/>
      </c:catAx>
      <c:valAx>
        <c:axId val="373910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246336"/>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Risks Over Time</a:t>
            </a:r>
          </a:p>
        </c:rich>
      </c:tx>
      <c:overlay val="0"/>
      <c:spPr>
        <a:noFill/>
        <a:ln>
          <a:noFill/>
        </a:ln>
        <a:effectLst/>
      </c:spPr>
    </c:title>
    <c:autoTitleDeleted val="0"/>
    <c:plotArea>
      <c:layout/>
      <c:barChart>
        <c:barDir val="col"/>
        <c:grouping val="stacked"/>
        <c:varyColors val="0"/>
        <c:ser>
          <c:idx val="0"/>
          <c:order val="0"/>
          <c:tx>
            <c:strRef>
              <c:f>'Number of risks by month'!$A$4</c:f>
              <c:strCache>
                <c:ptCount val="1"/>
                <c:pt idx="0">
                  <c:v>Risks above water line</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'Number of risks by month'!$B$4</c:f>
              <c:numCache>
                <c:formatCode>0</c:formatCode>
                <c:ptCount val="1"/>
                <c:pt idx="0">
                  <c:v>9</c:v>
                </c:pt>
              </c:numCache>
            </c:numRef>
          </c:val>
        </c:ser>
        <c:ser>
          <c:idx val="1"/>
          <c:order val="1"/>
          <c:tx>
            <c:strRef>
              <c:f>'Number of risks by month'!$A$5</c:f>
              <c:strCache>
                <c:ptCount val="1"/>
                <c:pt idx="0">
                  <c:v>Risks below the water 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'Number of risks by month'!$B$5</c:f>
              <c:numCache>
                <c:formatCode>0</c:formatCode>
                <c:ptCount val="1"/>
                <c:pt idx="0">
                  <c:v>15</c:v>
                </c:pt>
              </c:numCache>
            </c:numRef>
          </c:val>
        </c:ser>
        <c:ser>
          <c:idx val="2"/>
          <c:order val="2"/>
          <c:tx>
            <c:strRef>
              <c:f>'Number of risks by month'!$A$6</c:f>
              <c:strCache>
                <c:ptCount val="1"/>
                <c:pt idx="0">
                  <c:v>Risks closed</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'Number of risks by month'!$B$6</c:f>
              <c:numCache>
                <c:formatCode>0</c:formatCode>
                <c:ptCount val="1"/>
                <c:pt idx="0">
                  <c:v>1</c:v>
                </c:pt>
              </c:numCache>
            </c:numRef>
          </c:val>
        </c:ser>
        <c:dLbls>
          <c:dLblPos val="ctr"/>
          <c:showLegendKey val="0"/>
          <c:showVal val="1"/>
          <c:showCatName val="0"/>
          <c:showSerName val="0"/>
          <c:showPercent val="0"/>
          <c:showBubbleSize val="0"/>
        </c:dLbls>
        <c:gapWidth val="150"/>
        <c:overlap val="100"/>
        <c:axId val="300398848"/>
        <c:axId val="300409216"/>
      </c:barChart>
      <c:catAx>
        <c:axId val="30039884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July</a:t>
                </a:r>
              </a:p>
            </c:rich>
          </c:tx>
          <c:overlay val="0"/>
          <c:spPr>
            <a:noFill/>
            <a:ln>
              <a:noFill/>
            </a:ln>
            <a:effectLst/>
          </c:spPr>
        </c:title>
        <c:numFmt formatCode="General" sourceLinked="1"/>
        <c:majorTickMark val="out"/>
        <c:minorTickMark val="none"/>
        <c:tickLblPos val="nextTo"/>
        <c:crossAx val="300409216"/>
        <c:crosses val="autoZero"/>
        <c:auto val="0"/>
        <c:lblAlgn val="ctr"/>
        <c:lblOffset val="100"/>
        <c:noMultiLvlLbl val="0"/>
      </c:catAx>
      <c:valAx>
        <c:axId val="30040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Risks</a:t>
                </a:r>
              </a:p>
            </c:rich>
          </c:tx>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39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Risks Above/Below</a:t>
            </a:r>
            <a:r>
              <a:rPr lang="en-US" baseline="0"/>
              <a:t> Waterline</a:t>
            </a:r>
            <a:endParaRPr lang="en-US"/>
          </a:p>
        </c:rich>
      </c:tx>
      <c:overlay val="0"/>
      <c:spPr>
        <a:noFill/>
        <a:ln>
          <a:noFill/>
        </a:ln>
        <a:effectLst/>
      </c:spPr>
    </c:title>
    <c:autoTitleDeleted val="0"/>
    <c:plotArea>
      <c:layout/>
      <c:pieChart>
        <c:varyColors val="1"/>
        <c:ser>
          <c:idx val="0"/>
          <c:order val="0"/>
          <c:dPt>
            <c:idx val="0"/>
            <c:bubble3D val="0"/>
            <c:spPr>
              <a:solidFill>
                <a:srgbClr val="FF0000"/>
              </a:solidFill>
              <a:ln w="19050">
                <a:solidFill>
                  <a:schemeClr val="lt1"/>
                </a:solidFill>
              </a:ln>
              <a:effectLst/>
            </c:spPr>
          </c:dPt>
          <c:dPt>
            <c:idx val="1"/>
            <c:bubble3D val="0"/>
            <c:spPr>
              <a:solidFill>
                <a:schemeClr val="accent4"/>
              </a:solidFill>
              <a:ln w="19050">
                <a:solidFill>
                  <a:schemeClr val="lt1"/>
                </a:solidFill>
              </a:ln>
              <a:effectLst/>
            </c:spPr>
          </c:dPt>
          <c:cat>
            <c:strRef>
              <c:f>'Abovebelow waterline'!$B$3:$B$4</c:f>
              <c:strCache>
                <c:ptCount val="2"/>
                <c:pt idx="0">
                  <c:v>Above water  line</c:v>
                </c:pt>
                <c:pt idx="1">
                  <c:v>Below Water line</c:v>
                </c:pt>
              </c:strCache>
            </c:strRef>
          </c:cat>
          <c:val>
            <c:numRef>
              <c:f>'Abovebelow waterline'!$C$3:$C$4</c:f>
              <c:numCache>
                <c:formatCode>0</c:formatCode>
                <c:ptCount val="2"/>
                <c:pt idx="0">
                  <c:v>9</c:v>
                </c:pt>
                <c:pt idx="1">
                  <c:v>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Risks per Strategic Pillar</a:t>
            </a:r>
          </a:p>
        </c:rich>
      </c:tx>
      <c:overlay val="0"/>
      <c:spPr>
        <a:noFill/>
        <a:ln>
          <a:noFill/>
        </a:ln>
        <a:effectLst/>
      </c:spPr>
    </c:title>
    <c:autoTitleDeleted val="0"/>
    <c:plotArea>
      <c:layout/>
      <c:pieChart>
        <c:varyColors val="1"/>
        <c:ser>
          <c:idx val="0"/>
          <c:order val="0"/>
          <c:tx>
            <c:strRef>
              <c:f>'Strategic Pillars'!$C$1</c:f>
              <c:strCache>
                <c:ptCount val="1"/>
                <c:pt idx="0">
                  <c:v>Number of Risks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Pt>
            <c:idx val="5"/>
            <c:bubble3D val="0"/>
            <c:spPr>
              <a:solidFill>
                <a:schemeClr val="accent4">
                  <a:lumMod val="60000"/>
                </a:schemeClr>
              </a:solidFill>
              <a:ln w="19050">
                <a:solidFill>
                  <a:schemeClr val="lt1"/>
                </a:solidFill>
              </a:ln>
              <a:effectLst/>
            </c:spPr>
          </c:dPt>
          <c:dLbls>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'Strategic Pillars'!$B$2:$B$7</c:f>
              <c:strCache>
                <c:ptCount val="6"/>
                <c:pt idx="0">
                  <c:v>Strengthen Primary Care</c:v>
                </c:pt>
                <c:pt idx="1">
                  <c:v>Integrate Physical and Behavioral Health</c:v>
                </c:pt>
                <c:pt idx="2">
                  <c:v>Develop New Workforce Models</c:v>
                </c:pt>
                <c:pt idx="3">
                  <c:v>Develop New Payment Models</c:v>
                </c:pt>
                <c:pt idx="4">
                  <c:v>Centralize Data and Analysis</c:v>
                </c:pt>
                <c:pt idx="5">
                  <c:v>Engage People and Communities</c:v>
                </c:pt>
              </c:strCache>
            </c:strRef>
          </c:cat>
          <c:val>
            <c:numRef>
              <c:f>'Strategic Pillars'!$C$2:$C$7</c:f>
              <c:numCache>
                <c:formatCode>0</c:formatCode>
                <c:ptCount val="6"/>
                <c:pt idx="0">
                  <c:v>3</c:v>
                </c:pt>
                <c:pt idx="1">
                  <c:v>3</c:v>
                </c:pt>
                <c:pt idx="2">
                  <c:v>1</c:v>
                </c:pt>
                <c:pt idx="3">
                  <c:v>2</c:v>
                </c:pt>
                <c:pt idx="4">
                  <c:v>0</c:v>
                </c:pt>
                <c:pt idx="5">
                  <c:v>0</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Subcomittee/Workgroup</a:t>
            </a:r>
            <a:r>
              <a:rPr lang="en-US" sz="1200" baseline="0"/>
              <a:t> per Risk</a:t>
            </a:r>
            <a:r>
              <a:rPr lang="en-US" sz="1200"/>
              <a:t> </a:t>
            </a:r>
          </a:p>
        </c:rich>
      </c:tx>
      <c:overlay val="0"/>
      <c:spPr>
        <a:noFill/>
        <a:ln>
          <a:noFill/>
        </a:ln>
        <a:effectLst/>
      </c:spPr>
    </c:title>
    <c:autoTitleDeleted val="0"/>
    <c:plotArea>
      <c:layout/>
      <c:pieChart>
        <c:varyColors val="1"/>
        <c:ser>
          <c:idx val="0"/>
          <c:order val="0"/>
          <c:tx>
            <c:strRef>
              <c:f>'Risk Ownership'!$C$13</c:f>
              <c:strCache>
                <c:ptCount val="1"/>
                <c:pt idx="0">
                  <c:v>Number </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'Risk Ownership'!$B$14:$B$17</c:f>
              <c:strCache>
                <c:ptCount val="4"/>
                <c:pt idx="0">
                  <c:v>Delivery System Reform</c:v>
                </c:pt>
                <c:pt idx="1">
                  <c:v>Steering Committee</c:v>
                </c:pt>
                <c:pt idx="2">
                  <c:v>Payment Reform Subcommittee</c:v>
                </c:pt>
                <c:pt idx="3">
                  <c:v>Data Infrastructure Subcommittee</c:v>
                </c:pt>
              </c:strCache>
            </c:strRef>
          </c:cat>
          <c:val>
            <c:numRef>
              <c:f>'Risk Ownership'!$C$14:$C$17</c:f>
              <c:numCache>
                <c:formatCode>0</c:formatCode>
                <c:ptCount val="4"/>
                <c:pt idx="0">
                  <c:v>4</c:v>
                </c:pt>
                <c:pt idx="1">
                  <c:v>3</c:v>
                </c:pt>
                <c:pt idx="2">
                  <c:v>1</c:v>
                </c:pt>
                <c:pt idx="3">
                  <c:v>1</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1564-5D6C-409A-B742-89A07F22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Aponte Clarke</dc:creator>
  <cp:keywords/>
  <dc:description/>
  <cp:lastModifiedBy>Chenard, Randal</cp:lastModifiedBy>
  <cp:revision>2</cp:revision>
  <dcterms:created xsi:type="dcterms:W3CDTF">2014-08-26T00:42:00Z</dcterms:created>
  <dcterms:modified xsi:type="dcterms:W3CDTF">2014-08-26T00:42:00Z</dcterms:modified>
</cp:coreProperties>
</file>